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83DB" w14:textId="77777777" w:rsidR="003724DD" w:rsidRDefault="00CA31EC" w:rsidP="00CA31EC">
      <w:pPr>
        <w:spacing w:before="74"/>
        <w:rPr>
          <w:sz w:val="32"/>
        </w:rPr>
      </w:pPr>
      <w:r>
        <w:rPr>
          <w:color w:val="333333"/>
          <w:sz w:val="32"/>
        </w:rPr>
        <w:t xml:space="preserve"> </w:t>
      </w:r>
      <w:r w:rsidR="00BC6C76">
        <w:rPr>
          <w:color w:val="333333"/>
          <w:sz w:val="32"/>
        </w:rPr>
        <w:t>CONSUMER AND PERSONAL LOANS (CCCFA)</w:t>
      </w:r>
    </w:p>
    <w:p w14:paraId="76422818" w14:textId="77777777" w:rsidR="003724DD" w:rsidRDefault="003724DD">
      <w:pPr>
        <w:pStyle w:val="BodyText"/>
        <w:spacing w:before="11"/>
        <w:ind w:left="0"/>
        <w:rPr>
          <w:sz w:val="31"/>
        </w:rPr>
      </w:pPr>
    </w:p>
    <w:p w14:paraId="6309221E" w14:textId="77777777" w:rsidR="003724DD" w:rsidRDefault="00BC6C76">
      <w:pPr>
        <w:pStyle w:val="BodyText"/>
        <w:spacing w:line="324" w:lineRule="auto"/>
        <w:ind w:left="140" w:right="335"/>
      </w:pPr>
      <w:r>
        <w:rPr>
          <w:color w:val="747474"/>
        </w:rPr>
        <w:t>These are loans where the funds are borrowed in personal names and are for personal use.</w:t>
      </w:r>
    </w:p>
    <w:p w14:paraId="706ECD69" w14:textId="77777777" w:rsidR="003724DD" w:rsidRDefault="003724DD">
      <w:pPr>
        <w:pStyle w:val="BodyText"/>
        <w:ind w:left="0"/>
        <w:rPr>
          <w:sz w:val="27"/>
        </w:rPr>
      </w:pPr>
    </w:p>
    <w:p w14:paraId="65CB204A" w14:textId="77777777" w:rsidR="003724DD" w:rsidRDefault="00BC6C76">
      <w:pPr>
        <w:pStyle w:val="ListParagraph"/>
        <w:numPr>
          <w:ilvl w:val="0"/>
          <w:numId w:val="1"/>
        </w:numPr>
        <w:tabs>
          <w:tab w:val="left" w:pos="860"/>
          <w:tab w:val="left" w:pos="861"/>
        </w:tabs>
        <w:spacing w:line="324" w:lineRule="auto"/>
        <w:ind w:right="1176"/>
        <w:rPr>
          <w:sz w:val="23"/>
        </w:rPr>
      </w:pPr>
      <w:r>
        <w:rPr>
          <w:color w:val="747474"/>
          <w:sz w:val="23"/>
        </w:rPr>
        <w:t>Consumer and Personal Loans are covered by the Credit Contracts</w:t>
      </w:r>
      <w:r>
        <w:rPr>
          <w:color w:val="747474"/>
          <w:spacing w:val="-44"/>
          <w:sz w:val="23"/>
        </w:rPr>
        <w:t xml:space="preserve"> </w:t>
      </w:r>
      <w:r>
        <w:rPr>
          <w:color w:val="747474"/>
          <w:sz w:val="23"/>
        </w:rPr>
        <w:t>and Consumer Finance Act</w:t>
      </w:r>
      <w:r>
        <w:rPr>
          <w:color w:val="747474"/>
          <w:spacing w:val="-18"/>
          <w:sz w:val="23"/>
        </w:rPr>
        <w:t xml:space="preserve"> </w:t>
      </w:r>
      <w:r>
        <w:rPr>
          <w:color w:val="747474"/>
          <w:sz w:val="23"/>
        </w:rPr>
        <w:t>2003.</w:t>
      </w:r>
    </w:p>
    <w:p w14:paraId="3CA2AD7F" w14:textId="00E96C73" w:rsidR="003724DD" w:rsidRDefault="00BC6C76">
      <w:pPr>
        <w:pStyle w:val="ListParagraph"/>
        <w:numPr>
          <w:ilvl w:val="0"/>
          <w:numId w:val="1"/>
        </w:numPr>
        <w:tabs>
          <w:tab w:val="left" w:pos="860"/>
          <w:tab w:val="left" w:pos="861"/>
        </w:tabs>
        <w:spacing w:before="8"/>
        <w:rPr>
          <w:sz w:val="23"/>
        </w:rPr>
      </w:pPr>
      <w:r>
        <w:rPr>
          <w:color w:val="747474"/>
          <w:sz w:val="23"/>
        </w:rPr>
        <w:t>Loans up to a maximum of</w:t>
      </w:r>
      <w:r>
        <w:rPr>
          <w:color w:val="747474"/>
          <w:spacing w:val="-24"/>
          <w:sz w:val="23"/>
        </w:rPr>
        <w:t xml:space="preserve"> </w:t>
      </w:r>
      <w:r w:rsidR="000E0038">
        <w:rPr>
          <w:color w:val="747474"/>
          <w:spacing w:val="-24"/>
          <w:sz w:val="23"/>
        </w:rPr>
        <w:t xml:space="preserve"> </w:t>
      </w:r>
      <w:r>
        <w:rPr>
          <w:color w:val="747474"/>
          <w:sz w:val="23"/>
        </w:rPr>
        <w:t>$100,000.00.</w:t>
      </w:r>
    </w:p>
    <w:p w14:paraId="47E6A938" w14:textId="15F215FA" w:rsidR="003724DD" w:rsidRDefault="00BC6C76">
      <w:pPr>
        <w:pStyle w:val="ListParagraph"/>
        <w:numPr>
          <w:ilvl w:val="0"/>
          <w:numId w:val="1"/>
        </w:numPr>
        <w:tabs>
          <w:tab w:val="left" w:pos="860"/>
          <w:tab w:val="left" w:pos="861"/>
        </w:tabs>
        <w:spacing w:before="91"/>
        <w:rPr>
          <w:sz w:val="23"/>
        </w:rPr>
      </w:pPr>
      <w:r>
        <w:rPr>
          <w:color w:val="747474"/>
          <w:spacing w:val="2"/>
          <w:sz w:val="23"/>
        </w:rPr>
        <w:t xml:space="preserve">We </w:t>
      </w:r>
      <w:r>
        <w:rPr>
          <w:color w:val="747474"/>
          <w:sz w:val="23"/>
        </w:rPr>
        <w:t>lend to a Maximum LVR of</w:t>
      </w:r>
      <w:r w:rsidR="000E0038">
        <w:rPr>
          <w:color w:val="747474"/>
          <w:sz w:val="23"/>
        </w:rPr>
        <w:t xml:space="preserve"> </w:t>
      </w:r>
      <w:r>
        <w:rPr>
          <w:color w:val="747474"/>
          <w:spacing w:val="-31"/>
          <w:sz w:val="23"/>
        </w:rPr>
        <w:t xml:space="preserve"> </w:t>
      </w:r>
      <w:r>
        <w:rPr>
          <w:color w:val="747474"/>
          <w:sz w:val="23"/>
        </w:rPr>
        <w:t>7</w:t>
      </w:r>
      <w:r w:rsidR="00104966">
        <w:rPr>
          <w:color w:val="747474"/>
          <w:sz w:val="23"/>
        </w:rPr>
        <w:t>0</w:t>
      </w:r>
      <w:r>
        <w:rPr>
          <w:color w:val="747474"/>
          <w:sz w:val="23"/>
        </w:rPr>
        <w:t>%.</w:t>
      </w:r>
    </w:p>
    <w:p w14:paraId="76F69924" w14:textId="77777777" w:rsidR="003724DD" w:rsidRDefault="00BC6C76">
      <w:pPr>
        <w:pStyle w:val="ListParagraph"/>
        <w:numPr>
          <w:ilvl w:val="0"/>
          <w:numId w:val="1"/>
        </w:numPr>
        <w:tabs>
          <w:tab w:val="left" w:pos="860"/>
          <w:tab w:val="left" w:pos="861"/>
        </w:tabs>
        <w:spacing w:before="96"/>
        <w:rPr>
          <w:sz w:val="23"/>
        </w:rPr>
      </w:pPr>
      <w:r>
        <w:rPr>
          <w:color w:val="747474"/>
          <w:sz w:val="23"/>
        </w:rPr>
        <w:t>Bank consent and Deed of Priority not</w:t>
      </w:r>
      <w:r>
        <w:rPr>
          <w:color w:val="747474"/>
          <w:spacing w:val="-14"/>
          <w:sz w:val="23"/>
        </w:rPr>
        <w:t xml:space="preserve"> </w:t>
      </w:r>
      <w:r>
        <w:rPr>
          <w:color w:val="747474"/>
          <w:sz w:val="23"/>
        </w:rPr>
        <w:t>required.</w:t>
      </w:r>
    </w:p>
    <w:p w14:paraId="6D5DE513" w14:textId="5FDA6E30" w:rsidR="003724DD" w:rsidRDefault="00255F38">
      <w:pPr>
        <w:pStyle w:val="ListParagraph"/>
        <w:numPr>
          <w:ilvl w:val="0"/>
          <w:numId w:val="1"/>
        </w:numPr>
        <w:tabs>
          <w:tab w:val="left" w:pos="860"/>
          <w:tab w:val="left" w:pos="861"/>
        </w:tabs>
        <w:spacing w:before="95"/>
        <w:rPr>
          <w:sz w:val="23"/>
        </w:rPr>
      </w:pPr>
      <w:r>
        <w:rPr>
          <w:color w:val="747474"/>
          <w:sz w:val="23"/>
        </w:rPr>
        <w:t>Interest Only, Princip</w:t>
      </w:r>
      <w:r w:rsidR="000E0038">
        <w:rPr>
          <w:color w:val="747474"/>
          <w:sz w:val="23"/>
        </w:rPr>
        <w:t>al</w:t>
      </w:r>
      <w:r w:rsidR="006F4531">
        <w:rPr>
          <w:color w:val="747474"/>
          <w:sz w:val="23"/>
        </w:rPr>
        <w:t xml:space="preserve"> </w:t>
      </w:r>
      <w:r w:rsidR="00BC6C76">
        <w:rPr>
          <w:color w:val="747474"/>
          <w:sz w:val="23"/>
        </w:rPr>
        <w:t>&amp; Interest or Capitalised Interest (short</w:t>
      </w:r>
      <w:r w:rsidR="00BC6C76">
        <w:rPr>
          <w:color w:val="747474"/>
          <w:spacing w:val="-15"/>
          <w:sz w:val="23"/>
        </w:rPr>
        <w:t xml:space="preserve"> </w:t>
      </w:r>
      <w:r w:rsidR="00BC6C76">
        <w:rPr>
          <w:color w:val="747474"/>
          <w:sz w:val="23"/>
        </w:rPr>
        <w:t>term).</w:t>
      </w:r>
    </w:p>
    <w:p w14:paraId="4629F26D" w14:textId="0EC8352A" w:rsidR="003724DD" w:rsidRDefault="006F4531">
      <w:pPr>
        <w:pStyle w:val="ListParagraph"/>
        <w:numPr>
          <w:ilvl w:val="0"/>
          <w:numId w:val="1"/>
        </w:numPr>
        <w:tabs>
          <w:tab w:val="left" w:pos="860"/>
          <w:tab w:val="left" w:pos="861"/>
        </w:tabs>
        <w:spacing w:before="94"/>
        <w:rPr>
          <w:sz w:val="23"/>
        </w:rPr>
      </w:pPr>
      <w:r>
        <w:rPr>
          <w:color w:val="747474"/>
          <w:sz w:val="23"/>
        </w:rPr>
        <w:t>Flexible lending terms from 1 month</w:t>
      </w:r>
      <w:r w:rsidR="00BC6C76">
        <w:rPr>
          <w:color w:val="747474"/>
          <w:sz w:val="23"/>
        </w:rPr>
        <w:t xml:space="preserve"> to </w:t>
      </w:r>
      <w:r w:rsidR="00104966">
        <w:rPr>
          <w:color w:val="747474"/>
          <w:sz w:val="23"/>
        </w:rPr>
        <w:t xml:space="preserve">3 </w:t>
      </w:r>
      <w:r w:rsidR="00BC6C76">
        <w:rPr>
          <w:color w:val="747474"/>
          <w:spacing w:val="-37"/>
          <w:sz w:val="23"/>
        </w:rPr>
        <w:t xml:space="preserve"> </w:t>
      </w:r>
      <w:r w:rsidR="00BC6C76">
        <w:rPr>
          <w:color w:val="747474"/>
          <w:sz w:val="23"/>
        </w:rPr>
        <w:t>years.</w:t>
      </w:r>
    </w:p>
    <w:p w14:paraId="5246286C" w14:textId="77777777" w:rsidR="003724DD" w:rsidRDefault="003724DD">
      <w:pPr>
        <w:pStyle w:val="BodyText"/>
        <w:spacing w:before="9"/>
        <w:ind w:left="0"/>
        <w:rPr>
          <w:sz w:val="30"/>
        </w:rPr>
      </w:pPr>
    </w:p>
    <w:p w14:paraId="6889957E" w14:textId="77777777" w:rsidR="003724DD" w:rsidRDefault="00BC6C76">
      <w:pPr>
        <w:pStyle w:val="BodyText"/>
        <w:spacing w:before="1"/>
        <w:ind w:left="140"/>
      </w:pPr>
      <w:r>
        <w:rPr>
          <w:color w:val="333333"/>
        </w:rPr>
        <w:t>INTEREST RATES AND FEES</w:t>
      </w:r>
    </w:p>
    <w:p w14:paraId="0138EFF3" w14:textId="77777777" w:rsidR="003724DD" w:rsidRDefault="003724DD">
      <w:pPr>
        <w:pStyle w:val="BodyText"/>
        <w:ind w:left="0"/>
        <w:rPr>
          <w:sz w:val="36"/>
        </w:rPr>
      </w:pPr>
    </w:p>
    <w:p w14:paraId="0059E358" w14:textId="3B30A96D" w:rsidR="003724DD" w:rsidRDefault="00BC6C76">
      <w:pPr>
        <w:pStyle w:val="ListParagraph"/>
        <w:numPr>
          <w:ilvl w:val="0"/>
          <w:numId w:val="1"/>
        </w:numPr>
        <w:tabs>
          <w:tab w:val="left" w:pos="860"/>
          <w:tab w:val="left" w:pos="861"/>
        </w:tabs>
        <w:rPr>
          <w:sz w:val="23"/>
        </w:rPr>
      </w:pPr>
      <w:r>
        <w:rPr>
          <w:color w:val="747474"/>
          <w:sz w:val="23"/>
        </w:rPr>
        <w:t>Consumer Credit Contract ann</w:t>
      </w:r>
      <w:r w:rsidR="002E7C12">
        <w:rPr>
          <w:color w:val="747474"/>
          <w:sz w:val="23"/>
        </w:rPr>
        <w:t>ual interest rates range from 16</w:t>
      </w:r>
      <w:r>
        <w:rPr>
          <w:color w:val="747474"/>
          <w:sz w:val="23"/>
        </w:rPr>
        <w:t>.95% to</w:t>
      </w:r>
      <w:r>
        <w:rPr>
          <w:color w:val="747474"/>
          <w:spacing w:val="-44"/>
          <w:sz w:val="23"/>
        </w:rPr>
        <w:t xml:space="preserve"> </w:t>
      </w:r>
      <w:r>
        <w:rPr>
          <w:color w:val="747474"/>
          <w:sz w:val="23"/>
        </w:rPr>
        <w:t>2</w:t>
      </w:r>
      <w:r w:rsidR="00104966">
        <w:rPr>
          <w:color w:val="747474"/>
          <w:sz w:val="23"/>
        </w:rPr>
        <w:t>9</w:t>
      </w:r>
      <w:r>
        <w:rPr>
          <w:color w:val="747474"/>
          <w:sz w:val="23"/>
        </w:rPr>
        <w:t>.95%.</w:t>
      </w:r>
    </w:p>
    <w:p w14:paraId="137364F0" w14:textId="7B8AB77E" w:rsidR="003724DD" w:rsidRDefault="00BC6C76">
      <w:pPr>
        <w:pStyle w:val="ListParagraph"/>
        <w:numPr>
          <w:ilvl w:val="0"/>
          <w:numId w:val="1"/>
        </w:numPr>
        <w:tabs>
          <w:tab w:val="left" w:pos="860"/>
          <w:tab w:val="left" w:pos="861"/>
        </w:tabs>
        <w:spacing w:before="93"/>
        <w:rPr>
          <w:sz w:val="23"/>
        </w:rPr>
      </w:pPr>
      <w:r>
        <w:rPr>
          <w:color w:val="747474"/>
          <w:sz w:val="23"/>
        </w:rPr>
        <w:t>All our interest rates are fixed for the whole term of the loan</w:t>
      </w:r>
      <w:r w:rsidR="00104966">
        <w:rPr>
          <w:color w:val="747474"/>
          <w:sz w:val="23"/>
        </w:rPr>
        <w:t xml:space="preserve"> </w:t>
      </w:r>
      <w:r>
        <w:rPr>
          <w:color w:val="747474"/>
          <w:sz w:val="23"/>
        </w:rPr>
        <w:t>contract.</w:t>
      </w:r>
    </w:p>
    <w:p w14:paraId="4CF4127B" w14:textId="77777777" w:rsidR="003724DD" w:rsidRDefault="00BC6C76">
      <w:pPr>
        <w:pStyle w:val="ListParagraph"/>
        <w:numPr>
          <w:ilvl w:val="0"/>
          <w:numId w:val="1"/>
        </w:numPr>
        <w:tabs>
          <w:tab w:val="left" w:pos="860"/>
          <w:tab w:val="left" w:pos="861"/>
        </w:tabs>
        <w:spacing w:before="96"/>
        <w:rPr>
          <w:sz w:val="23"/>
        </w:rPr>
      </w:pPr>
      <w:r>
        <w:rPr>
          <w:color w:val="747474"/>
          <w:sz w:val="23"/>
        </w:rPr>
        <w:t>Establishment fees range from $100.00 to</w:t>
      </w:r>
      <w:r>
        <w:rPr>
          <w:color w:val="747474"/>
          <w:spacing w:val="-27"/>
          <w:sz w:val="23"/>
        </w:rPr>
        <w:t xml:space="preserve"> </w:t>
      </w:r>
      <w:r>
        <w:rPr>
          <w:color w:val="747474"/>
          <w:sz w:val="23"/>
        </w:rPr>
        <w:t>$1,000.00.</w:t>
      </w:r>
    </w:p>
    <w:p w14:paraId="4A75CB1B" w14:textId="42C27A15" w:rsidR="003724DD" w:rsidRDefault="00BC6C76">
      <w:pPr>
        <w:pStyle w:val="ListParagraph"/>
        <w:numPr>
          <w:ilvl w:val="0"/>
          <w:numId w:val="1"/>
        </w:numPr>
        <w:tabs>
          <w:tab w:val="left" w:pos="860"/>
          <w:tab w:val="left" w:pos="861"/>
        </w:tabs>
        <w:spacing w:before="98" w:line="324" w:lineRule="auto"/>
        <w:ind w:right="437"/>
        <w:rPr>
          <w:sz w:val="23"/>
        </w:rPr>
      </w:pPr>
      <w:r>
        <w:rPr>
          <w:color w:val="747474"/>
          <w:sz w:val="23"/>
        </w:rPr>
        <w:t>The annual interest rate that will apply to a Consumer Credit Contract will be within</w:t>
      </w:r>
      <w:r>
        <w:rPr>
          <w:color w:val="747474"/>
          <w:spacing w:val="-3"/>
          <w:sz w:val="23"/>
        </w:rPr>
        <w:t xml:space="preserve"> </w:t>
      </w:r>
      <w:r>
        <w:rPr>
          <w:color w:val="747474"/>
          <w:sz w:val="23"/>
        </w:rPr>
        <w:t>the</w:t>
      </w:r>
      <w:r>
        <w:rPr>
          <w:color w:val="747474"/>
          <w:spacing w:val="-3"/>
          <w:sz w:val="23"/>
        </w:rPr>
        <w:t xml:space="preserve"> </w:t>
      </w:r>
      <w:r>
        <w:rPr>
          <w:color w:val="747474"/>
          <w:sz w:val="23"/>
        </w:rPr>
        <w:t>above</w:t>
      </w:r>
      <w:r>
        <w:rPr>
          <w:color w:val="747474"/>
          <w:spacing w:val="-3"/>
          <w:sz w:val="23"/>
        </w:rPr>
        <w:t xml:space="preserve"> </w:t>
      </w:r>
      <w:r>
        <w:rPr>
          <w:color w:val="747474"/>
          <w:sz w:val="23"/>
        </w:rPr>
        <w:t>range and</w:t>
      </w:r>
      <w:r>
        <w:rPr>
          <w:color w:val="747474"/>
          <w:spacing w:val="-3"/>
          <w:sz w:val="23"/>
        </w:rPr>
        <w:t xml:space="preserve"> </w:t>
      </w:r>
      <w:r>
        <w:rPr>
          <w:color w:val="747474"/>
          <w:sz w:val="23"/>
        </w:rPr>
        <w:t>the</w:t>
      </w:r>
      <w:r>
        <w:rPr>
          <w:color w:val="747474"/>
          <w:spacing w:val="-3"/>
          <w:sz w:val="23"/>
        </w:rPr>
        <w:t xml:space="preserve"> </w:t>
      </w:r>
      <w:r>
        <w:rPr>
          <w:color w:val="747474"/>
          <w:sz w:val="23"/>
        </w:rPr>
        <w:t>applicable</w:t>
      </w:r>
      <w:r>
        <w:rPr>
          <w:color w:val="747474"/>
          <w:spacing w:val="-3"/>
          <w:sz w:val="23"/>
        </w:rPr>
        <w:t xml:space="preserve"> </w:t>
      </w:r>
      <w:r>
        <w:rPr>
          <w:color w:val="747474"/>
          <w:sz w:val="23"/>
        </w:rPr>
        <w:t>rate</w:t>
      </w:r>
      <w:r>
        <w:rPr>
          <w:color w:val="747474"/>
          <w:spacing w:val="-3"/>
          <w:sz w:val="23"/>
        </w:rPr>
        <w:t xml:space="preserve"> </w:t>
      </w:r>
      <w:r>
        <w:rPr>
          <w:color w:val="747474"/>
          <w:sz w:val="23"/>
        </w:rPr>
        <w:t>is</w:t>
      </w:r>
      <w:r>
        <w:rPr>
          <w:color w:val="747474"/>
          <w:spacing w:val="-2"/>
          <w:sz w:val="23"/>
        </w:rPr>
        <w:t xml:space="preserve"> </w:t>
      </w:r>
      <w:r>
        <w:rPr>
          <w:color w:val="747474"/>
          <w:sz w:val="23"/>
        </w:rPr>
        <w:t>determined</w:t>
      </w:r>
      <w:r>
        <w:rPr>
          <w:color w:val="747474"/>
          <w:spacing w:val="-3"/>
          <w:sz w:val="23"/>
        </w:rPr>
        <w:t xml:space="preserve"> </w:t>
      </w:r>
      <w:r>
        <w:rPr>
          <w:color w:val="747474"/>
          <w:sz w:val="23"/>
        </w:rPr>
        <w:t>and</w:t>
      </w:r>
      <w:r>
        <w:rPr>
          <w:color w:val="747474"/>
          <w:spacing w:val="-3"/>
          <w:sz w:val="23"/>
        </w:rPr>
        <w:t xml:space="preserve"> </w:t>
      </w:r>
      <w:r>
        <w:rPr>
          <w:color w:val="747474"/>
          <w:sz w:val="23"/>
        </w:rPr>
        <w:t>offered</w:t>
      </w:r>
      <w:r>
        <w:rPr>
          <w:color w:val="747474"/>
          <w:spacing w:val="-3"/>
          <w:sz w:val="23"/>
        </w:rPr>
        <w:t xml:space="preserve"> </w:t>
      </w:r>
      <w:r>
        <w:rPr>
          <w:color w:val="747474"/>
          <w:sz w:val="23"/>
        </w:rPr>
        <w:t>t</w:t>
      </w:r>
      <w:r w:rsidR="000E0038">
        <w:rPr>
          <w:color w:val="747474"/>
          <w:sz w:val="23"/>
        </w:rPr>
        <w:t xml:space="preserve">o </w:t>
      </w:r>
      <w:r>
        <w:rPr>
          <w:color w:val="747474"/>
          <w:spacing w:val="-41"/>
          <w:sz w:val="23"/>
        </w:rPr>
        <w:t xml:space="preserve"> </w:t>
      </w:r>
      <w:r>
        <w:rPr>
          <w:color w:val="747474"/>
          <w:sz w:val="23"/>
        </w:rPr>
        <w:t>you based on your credit profile, financial position, loan amount and the security offered.</w:t>
      </w:r>
    </w:p>
    <w:p w14:paraId="23FD9D28" w14:textId="77777777" w:rsidR="003724DD" w:rsidRDefault="00BC6C76">
      <w:pPr>
        <w:pStyle w:val="ListParagraph"/>
        <w:numPr>
          <w:ilvl w:val="0"/>
          <w:numId w:val="1"/>
        </w:numPr>
        <w:tabs>
          <w:tab w:val="left" w:pos="860"/>
          <w:tab w:val="left" w:pos="861"/>
        </w:tabs>
        <w:spacing w:before="7"/>
        <w:rPr>
          <w:sz w:val="23"/>
        </w:rPr>
      </w:pPr>
      <w:r>
        <w:rPr>
          <w:color w:val="747474"/>
          <w:sz w:val="23"/>
        </w:rPr>
        <w:t>Interest is charged and debited to the loan</w:t>
      </w:r>
      <w:r>
        <w:rPr>
          <w:color w:val="747474"/>
          <w:spacing w:val="-32"/>
          <w:sz w:val="23"/>
        </w:rPr>
        <w:t xml:space="preserve"> </w:t>
      </w:r>
      <w:r w:rsidR="006F4531">
        <w:rPr>
          <w:color w:val="747474"/>
          <w:sz w:val="23"/>
        </w:rPr>
        <w:t>monthly on the last day of the month</w:t>
      </w:r>
    </w:p>
    <w:p w14:paraId="5382D2E9" w14:textId="77777777" w:rsidR="003724DD" w:rsidRDefault="003724DD">
      <w:pPr>
        <w:pStyle w:val="BodyText"/>
        <w:spacing w:before="5"/>
        <w:ind w:left="0"/>
        <w:rPr>
          <w:sz w:val="35"/>
        </w:rPr>
      </w:pPr>
    </w:p>
    <w:p w14:paraId="5CE20424" w14:textId="77777777" w:rsidR="006F4531" w:rsidRPr="006F4531" w:rsidRDefault="006F4531" w:rsidP="006F4531">
      <w:pPr>
        <w:ind w:left="116"/>
        <w:jc w:val="both"/>
        <w:rPr>
          <w:sz w:val="23"/>
          <w:szCs w:val="23"/>
        </w:rPr>
      </w:pPr>
      <w:r w:rsidRPr="006F4531">
        <w:rPr>
          <w:color w:val="1F1F21"/>
          <w:sz w:val="23"/>
          <w:szCs w:val="23"/>
        </w:rPr>
        <w:t xml:space="preserve">EARLY FULL </w:t>
      </w:r>
      <w:r w:rsidRPr="006F4531">
        <w:rPr>
          <w:color w:val="0F0F11"/>
          <w:sz w:val="23"/>
          <w:szCs w:val="23"/>
        </w:rPr>
        <w:t xml:space="preserve">PREPAYMENT </w:t>
      </w:r>
      <w:r w:rsidRPr="006F4531">
        <w:rPr>
          <w:color w:val="1F1F21"/>
          <w:sz w:val="23"/>
          <w:szCs w:val="23"/>
        </w:rPr>
        <w:t>OF LOAN</w:t>
      </w:r>
    </w:p>
    <w:p w14:paraId="65C5CE90" w14:textId="77777777" w:rsidR="006F4531" w:rsidRPr="006F4531" w:rsidRDefault="006F4531" w:rsidP="006F4531">
      <w:pPr>
        <w:pStyle w:val="BodyText"/>
        <w:spacing w:before="8"/>
        <w:rPr>
          <w:b/>
        </w:rPr>
      </w:pPr>
    </w:p>
    <w:p w14:paraId="70926352" w14:textId="77777777" w:rsidR="006F4531" w:rsidRPr="006F4531" w:rsidRDefault="006F4531" w:rsidP="006F4531">
      <w:pPr>
        <w:ind w:left="142" w:right="84"/>
        <w:jc w:val="both"/>
        <w:rPr>
          <w:rFonts w:cs="AngsanaUPC"/>
          <w:color w:val="808080" w:themeColor="background1" w:themeShade="80"/>
          <w:sz w:val="23"/>
          <w:szCs w:val="23"/>
        </w:rPr>
      </w:pPr>
      <w:r w:rsidRPr="006F4531">
        <w:rPr>
          <w:rFonts w:cs="AngsanaUPC"/>
          <w:color w:val="808080" w:themeColor="background1" w:themeShade="80"/>
          <w:sz w:val="23"/>
          <w:szCs w:val="23"/>
        </w:rPr>
        <w:t>If you pay the unpaid balance in full before the final payment is due (full prepayment) the Lender reserves the right to charge you an early repayment fee to compensate the Lender for any loss resulting from full prepayment, in accordance with section 43 of the Credit Contracts and Consumer Finance Act 2003 (“the Act”).</w:t>
      </w:r>
    </w:p>
    <w:p w14:paraId="3AF9280A" w14:textId="77777777" w:rsidR="006F4531" w:rsidRPr="006F4531" w:rsidRDefault="006F4531" w:rsidP="006F4531">
      <w:pPr>
        <w:ind w:left="142" w:right="84"/>
        <w:jc w:val="both"/>
        <w:rPr>
          <w:rFonts w:cs="AngsanaUPC"/>
          <w:color w:val="808080" w:themeColor="background1" w:themeShade="80"/>
          <w:sz w:val="23"/>
          <w:szCs w:val="23"/>
        </w:rPr>
      </w:pPr>
    </w:p>
    <w:p w14:paraId="0381ED2A" w14:textId="77777777" w:rsidR="006F4531" w:rsidRPr="006F4531" w:rsidRDefault="006F4531" w:rsidP="006F4531">
      <w:pPr>
        <w:spacing w:after="120"/>
        <w:ind w:left="142" w:right="85"/>
        <w:jc w:val="both"/>
        <w:rPr>
          <w:rFonts w:eastAsia="Times New Roman" w:cs="AngsanaUPC"/>
          <w:color w:val="808080" w:themeColor="background1" w:themeShade="80"/>
          <w:sz w:val="23"/>
          <w:szCs w:val="23"/>
          <w:lang w:eastAsia="zh-TW"/>
        </w:rPr>
      </w:pPr>
      <w:r w:rsidRPr="006F4531">
        <w:rPr>
          <w:rFonts w:eastAsia="Times New Roman" w:cs="AngsanaUPC"/>
          <w:color w:val="808080" w:themeColor="background1" w:themeShade="80"/>
          <w:sz w:val="23"/>
          <w:szCs w:val="23"/>
          <w:lang w:eastAsia="zh-TW"/>
        </w:rPr>
        <w:t>The early repayment fee is calculated as 30 days interest at the Annual Interest Rate less 9.5% (being the Lender’s savings for its funding costs) on the outstanding principal balance of the loan at the date of repayment.  This procedure can be expressed as the following formula:</w:t>
      </w:r>
    </w:p>
    <w:p w14:paraId="2A741C75" w14:textId="77777777" w:rsidR="006F4531" w:rsidRPr="006F4531" w:rsidRDefault="006F4531" w:rsidP="006F4531">
      <w:pPr>
        <w:ind w:left="142"/>
        <w:contextualSpacing/>
        <w:jc w:val="both"/>
        <w:rPr>
          <w:rFonts w:eastAsia="Times New Roman"/>
          <w:color w:val="808080" w:themeColor="background1" w:themeShade="80"/>
          <w:sz w:val="23"/>
          <w:szCs w:val="23"/>
          <w:lang w:eastAsia="zh-TW"/>
        </w:rPr>
      </w:pPr>
      <w:r w:rsidRPr="006F4531">
        <w:rPr>
          <w:rFonts w:eastAsia="Times New Roman"/>
          <w:color w:val="808080" w:themeColor="background1" w:themeShade="80"/>
          <w:sz w:val="23"/>
          <w:szCs w:val="23"/>
          <w:lang w:eastAsia="zh-TW"/>
        </w:rPr>
        <w:t xml:space="preserve">ERF =    </w:t>
      </w:r>
      <w:r w:rsidRPr="006F4531">
        <w:rPr>
          <w:rFonts w:eastAsia="Times New Roman"/>
          <w:color w:val="808080" w:themeColor="background1" w:themeShade="80"/>
          <w:sz w:val="23"/>
          <w:szCs w:val="23"/>
          <w:u w:val="single"/>
          <w:lang w:eastAsia="zh-TW"/>
        </w:rPr>
        <w:t>PB</w:t>
      </w:r>
      <w:r w:rsidRPr="006F4531">
        <w:rPr>
          <w:rFonts w:eastAsia="Times New Roman"/>
          <w:color w:val="808080" w:themeColor="background1" w:themeShade="80"/>
          <w:sz w:val="23"/>
          <w:szCs w:val="23"/>
          <w:lang w:eastAsia="zh-TW"/>
        </w:rPr>
        <w:t xml:space="preserve">  x  </w:t>
      </w:r>
      <w:r w:rsidRPr="006F4531">
        <w:rPr>
          <w:rFonts w:eastAsia="Times New Roman"/>
          <w:color w:val="808080" w:themeColor="background1" w:themeShade="80"/>
          <w:sz w:val="23"/>
          <w:szCs w:val="23"/>
          <w:u w:val="single"/>
          <w:lang w:eastAsia="zh-TW"/>
        </w:rPr>
        <w:t>(AIR – 9.5)</w:t>
      </w:r>
      <w:r w:rsidRPr="006F4531">
        <w:rPr>
          <w:rFonts w:eastAsia="Times New Roman"/>
          <w:color w:val="808080" w:themeColor="background1" w:themeShade="80"/>
          <w:sz w:val="23"/>
          <w:szCs w:val="23"/>
          <w:lang w:eastAsia="zh-TW"/>
        </w:rPr>
        <w:t xml:space="preserve"> x     </w:t>
      </w:r>
      <w:r w:rsidRPr="006F4531">
        <w:rPr>
          <w:rFonts w:eastAsia="Times New Roman"/>
          <w:color w:val="808080" w:themeColor="background1" w:themeShade="80"/>
          <w:sz w:val="23"/>
          <w:szCs w:val="23"/>
          <w:u w:val="single"/>
          <w:lang w:eastAsia="zh-TW"/>
        </w:rPr>
        <w:t xml:space="preserve">  30</w:t>
      </w:r>
    </w:p>
    <w:p w14:paraId="437470D2" w14:textId="77777777" w:rsidR="006F4531" w:rsidRPr="006F4531" w:rsidRDefault="006F4531" w:rsidP="006F4531">
      <w:pPr>
        <w:tabs>
          <w:tab w:val="left" w:pos="993"/>
          <w:tab w:val="left" w:pos="1701"/>
          <w:tab w:val="left" w:pos="2835"/>
        </w:tabs>
        <w:spacing w:after="120"/>
        <w:ind w:left="142"/>
        <w:contextualSpacing/>
        <w:jc w:val="both"/>
        <w:rPr>
          <w:rFonts w:eastAsia="Times New Roman"/>
          <w:color w:val="808080" w:themeColor="background1" w:themeShade="80"/>
          <w:sz w:val="23"/>
          <w:szCs w:val="23"/>
          <w:lang w:eastAsia="zh-TW"/>
        </w:rPr>
      </w:pPr>
      <w:r w:rsidRPr="006F4531">
        <w:rPr>
          <w:rFonts w:eastAsia="Times New Roman"/>
          <w:color w:val="808080" w:themeColor="background1" w:themeShade="80"/>
          <w:sz w:val="23"/>
          <w:szCs w:val="23"/>
          <w:lang w:eastAsia="zh-TW"/>
        </w:rPr>
        <w:tab/>
      </w:r>
      <w:r w:rsidR="00B96EEA">
        <w:rPr>
          <w:rFonts w:eastAsia="Times New Roman"/>
          <w:color w:val="808080" w:themeColor="background1" w:themeShade="80"/>
          <w:sz w:val="23"/>
          <w:szCs w:val="23"/>
          <w:lang w:eastAsia="zh-TW"/>
        </w:rPr>
        <w:t xml:space="preserve">   </w:t>
      </w:r>
      <w:r w:rsidRPr="006F4531">
        <w:rPr>
          <w:rFonts w:eastAsia="Times New Roman"/>
          <w:color w:val="808080" w:themeColor="background1" w:themeShade="80"/>
          <w:sz w:val="23"/>
          <w:szCs w:val="23"/>
          <w:lang w:eastAsia="zh-TW"/>
        </w:rPr>
        <w:t>1</w:t>
      </w:r>
      <w:r w:rsidRPr="006F4531">
        <w:rPr>
          <w:rFonts w:eastAsia="Times New Roman"/>
          <w:color w:val="808080" w:themeColor="background1" w:themeShade="80"/>
          <w:sz w:val="23"/>
          <w:szCs w:val="23"/>
          <w:lang w:eastAsia="zh-TW"/>
        </w:rPr>
        <w:tab/>
      </w:r>
      <w:r w:rsidR="00B96EEA">
        <w:rPr>
          <w:rFonts w:eastAsia="Times New Roman"/>
          <w:color w:val="808080" w:themeColor="background1" w:themeShade="80"/>
          <w:sz w:val="23"/>
          <w:szCs w:val="23"/>
          <w:lang w:eastAsia="zh-TW"/>
        </w:rPr>
        <w:t xml:space="preserve">       </w:t>
      </w:r>
      <w:r w:rsidRPr="006F4531">
        <w:rPr>
          <w:rFonts w:eastAsia="Times New Roman"/>
          <w:color w:val="808080" w:themeColor="background1" w:themeShade="80"/>
          <w:sz w:val="23"/>
          <w:szCs w:val="23"/>
          <w:lang w:eastAsia="zh-TW"/>
        </w:rPr>
        <w:t>100             365</w:t>
      </w:r>
    </w:p>
    <w:p w14:paraId="65190A98" w14:textId="77777777" w:rsidR="006F4531" w:rsidRPr="006F4531" w:rsidRDefault="006F4531" w:rsidP="006F4531">
      <w:pPr>
        <w:tabs>
          <w:tab w:val="left" w:pos="2268"/>
          <w:tab w:val="left" w:pos="3119"/>
        </w:tabs>
        <w:spacing w:after="60"/>
        <w:ind w:left="142"/>
        <w:contextualSpacing/>
        <w:jc w:val="both"/>
        <w:rPr>
          <w:rFonts w:eastAsia="Times New Roman"/>
          <w:color w:val="808080" w:themeColor="background1" w:themeShade="80"/>
          <w:sz w:val="23"/>
          <w:szCs w:val="23"/>
          <w:lang w:eastAsia="zh-TW"/>
        </w:rPr>
      </w:pPr>
      <w:r w:rsidRPr="006F4531">
        <w:rPr>
          <w:rFonts w:eastAsia="Times New Roman"/>
          <w:color w:val="808080" w:themeColor="background1" w:themeShade="80"/>
          <w:sz w:val="23"/>
          <w:szCs w:val="23"/>
          <w:lang w:eastAsia="zh-TW"/>
        </w:rPr>
        <w:t>Where:</w:t>
      </w:r>
    </w:p>
    <w:p w14:paraId="0CB84F0D" w14:textId="77777777" w:rsidR="006F4531" w:rsidRPr="006F4531" w:rsidRDefault="006F4531" w:rsidP="006F4531">
      <w:pPr>
        <w:tabs>
          <w:tab w:val="left" w:pos="2268"/>
          <w:tab w:val="left" w:pos="3119"/>
        </w:tabs>
        <w:spacing w:after="60"/>
        <w:ind w:left="142"/>
        <w:contextualSpacing/>
        <w:jc w:val="both"/>
        <w:rPr>
          <w:rFonts w:eastAsia="Times New Roman"/>
          <w:color w:val="808080" w:themeColor="background1" w:themeShade="80"/>
          <w:sz w:val="23"/>
          <w:szCs w:val="23"/>
          <w:lang w:eastAsia="zh-TW"/>
        </w:rPr>
      </w:pPr>
      <w:r w:rsidRPr="006F4531">
        <w:rPr>
          <w:rFonts w:eastAsia="Times New Roman"/>
          <w:color w:val="808080" w:themeColor="background1" w:themeShade="80"/>
          <w:sz w:val="23"/>
          <w:szCs w:val="23"/>
          <w:lang w:eastAsia="zh-TW"/>
        </w:rPr>
        <w:t>ERF means early repayment fee</w:t>
      </w:r>
    </w:p>
    <w:p w14:paraId="15BD536F" w14:textId="77777777" w:rsidR="006F4531" w:rsidRPr="006F4531" w:rsidRDefault="006F4531" w:rsidP="006F4531">
      <w:pPr>
        <w:tabs>
          <w:tab w:val="left" w:pos="2268"/>
          <w:tab w:val="left" w:pos="3119"/>
        </w:tabs>
        <w:spacing w:after="60"/>
        <w:ind w:left="142"/>
        <w:contextualSpacing/>
        <w:jc w:val="both"/>
        <w:rPr>
          <w:rFonts w:eastAsia="Times New Roman"/>
          <w:color w:val="808080" w:themeColor="background1" w:themeShade="80"/>
          <w:sz w:val="23"/>
          <w:szCs w:val="23"/>
          <w:lang w:eastAsia="zh-TW"/>
        </w:rPr>
      </w:pPr>
      <w:r w:rsidRPr="006F4531">
        <w:rPr>
          <w:rFonts w:eastAsia="Times New Roman"/>
          <w:color w:val="808080" w:themeColor="background1" w:themeShade="80"/>
          <w:sz w:val="23"/>
          <w:szCs w:val="23"/>
          <w:lang w:eastAsia="zh-TW"/>
        </w:rPr>
        <w:t>PB equals the principal balance of the loan at the date of repayment.</w:t>
      </w:r>
    </w:p>
    <w:p w14:paraId="1B367529" w14:textId="77777777" w:rsidR="006F4531" w:rsidRPr="006F4531" w:rsidRDefault="006F4531" w:rsidP="006F4531">
      <w:pPr>
        <w:tabs>
          <w:tab w:val="left" w:pos="2268"/>
          <w:tab w:val="left" w:pos="3119"/>
        </w:tabs>
        <w:spacing w:after="60"/>
        <w:ind w:left="142"/>
        <w:contextualSpacing/>
        <w:jc w:val="both"/>
        <w:rPr>
          <w:rFonts w:eastAsia="Times New Roman"/>
          <w:color w:val="808080" w:themeColor="background1" w:themeShade="80"/>
          <w:sz w:val="23"/>
          <w:szCs w:val="23"/>
          <w:lang w:eastAsia="zh-TW"/>
        </w:rPr>
      </w:pPr>
      <w:r w:rsidRPr="006F4531">
        <w:rPr>
          <w:rFonts w:eastAsia="Times New Roman"/>
          <w:color w:val="808080" w:themeColor="background1" w:themeShade="80"/>
          <w:sz w:val="23"/>
          <w:szCs w:val="23"/>
          <w:lang w:eastAsia="zh-TW"/>
        </w:rPr>
        <w:t>AIR means the Annual Interest Rate which is a fixed rate set out in this agreement</w:t>
      </w:r>
    </w:p>
    <w:p w14:paraId="13396357" w14:textId="77777777" w:rsidR="006F4531" w:rsidRPr="006F4531" w:rsidRDefault="006F4531" w:rsidP="006F4531">
      <w:pPr>
        <w:tabs>
          <w:tab w:val="left" w:pos="2268"/>
          <w:tab w:val="left" w:pos="3119"/>
        </w:tabs>
        <w:spacing w:after="60"/>
        <w:ind w:left="142"/>
        <w:contextualSpacing/>
        <w:jc w:val="both"/>
        <w:rPr>
          <w:rFonts w:eastAsia="Times New Roman" w:cs="AngsanaUPC"/>
          <w:color w:val="808080" w:themeColor="background1" w:themeShade="80"/>
          <w:sz w:val="23"/>
          <w:szCs w:val="23"/>
          <w:lang w:eastAsia="zh-TW"/>
        </w:rPr>
      </w:pPr>
      <w:r w:rsidRPr="006F4531">
        <w:rPr>
          <w:rFonts w:eastAsia="Times New Roman" w:cs="AngsanaUPC"/>
          <w:color w:val="808080" w:themeColor="background1" w:themeShade="80"/>
          <w:sz w:val="23"/>
          <w:szCs w:val="23"/>
          <w:lang w:eastAsia="zh-TW"/>
        </w:rPr>
        <w:t>In the event that the period remaining on the contract is less than 30 days then number of days in the formula (currently expressed as 30 days) will be adjusted accordingly.</w:t>
      </w:r>
    </w:p>
    <w:p w14:paraId="1BA4B1FC" w14:textId="77777777" w:rsidR="006F4531" w:rsidRPr="006F4531" w:rsidRDefault="006F4531" w:rsidP="006F4531">
      <w:pPr>
        <w:ind w:left="142" w:right="84"/>
        <w:jc w:val="both"/>
        <w:rPr>
          <w:rFonts w:cs="AngsanaUPC"/>
          <w:color w:val="808080" w:themeColor="background1" w:themeShade="80"/>
          <w:sz w:val="23"/>
          <w:szCs w:val="23"/>
        </w:rPr>
      </w:pPr>
    </w:p>
    <w:p w14:paraId="184CDEED" w14:textId="77777777" w:rsidR="006F4531" w:rsidRPr="006F4531" w:rsidRDefault="006F4531" w:rsidP="006F4531">
      <w:pPr>
        <w:ind w:left="142" w:right="84"/>
        <w:jc w:val="both"/>
        <w:rPr>
          <w:rFonts w:cs="AngsanaUPC"/>
          <w:color w:val="808080" w:themeColor="background1" w:themeShade="80"/>
          <w:sz w:val="23"/>
          <w:szCs w:val="23"/>
        </w:rPr>
      </w:pPr>
      <w:r w:rsidRPr="006F4531">
        <w:rPr>
          <w:rFonts w:cs="AngsanaUPC"/>
          <w:color w:val="808080" w:themeColor="background1" w:themeShade="80"/>
          <w:sz w:val="23"/>
          <w:szCs w:val="23"/>
        </w:rPr>
        <w:t>In addition, you will be required to pay to the Lender a “Prepayment Administration Fee” of $30.00, which represents the Lender’s average administrative costs arising from full prepayment in accordance with section 51(1)(b) of the Act.</w:t>
      </w:r>
    </w:p>
    <w:p w14:paraId="5810DD6C" w14:textId="77777777" w:rsidR="006F4531" w:rsidRPr="006F4531" w:rsidRDefault="006F4531" w:rsidP="006F4531">
      <w:pPr>
        <w:pStyle w:val="BodyText"/>
        <w:spacing w:line="295" w:lineRule="auto"/>
        <w:ind w:left="106" w:right="619" w:firstLine="4"/>
        <w:jc w:val="both"/>
        <w:rPr>
          <w:rFonts w:cs="AngsanaUPC"/>
          <w:color w:val="808080" w:themeColor="background1" w:themeShade="80"/>
        </w:rPr>
      </w:pPr>
    </w:p>
    <w:p w14:paraId="1A0B6256" w14:textId="77777777" w:rsidR="006F4531" w:rsidRPr="006F4531" w:rsidRDefault="006F4531" w:rsidP="006F4531">
      <w:pPr>
        <w:pStyle w:val="BodyText"/>
        <w:spacing w:line="295" w:lineRule="auto"/>
        <w:ind w:left="106" w:right="619" w:firstLine="4"/>
        <w:jc w:val="both"/>
        <w:rPr>
          <w:color w:val="808080" w:themeColor="background1" w:themeShade="80"/>
        </w:rPr>
      </w:pPr>
      <w:r w:rsidRPr="006F4531">
        <w:rPr>
          <w:rFonts w:cs="AngsanaUPC"/>
          <w:color w:val="808080" w:themeColor="background1" w:themeShade="80"/>
        </w:rPr>
        <w:t>We do not use the procedure specified regulation 9 or 11 of the Credit Contracts and Consumer Finance Regulations 2004 to calculate our loss on early repayment</w:t>
      </w:r>
      <w:r w:rsidRPr="006F4531">
        <w:rPr>
          <w:color w:val="808080" w:themeColor="background1" w:themeShade="80"/>
          <w:w w:val="110"/>
        </w:rPr>
        <w:t>.</w:t>
      </w:r>
    </w:p>
    <w:p w14:paraId="41C83883" w14:textId="77777777" w:rsidR="00CA31EC" w:rsidRDefault="00CA31EC">
      <w:pPr>
        <w:spacing w:before="77"/>
        <w:ind w:left="178"/>
      </w:pPr>
    </w:p>
    <w:p w14:paraId="0C1F66C0" w14:textId="77777777" w:rsidR="003B2C29" w:rsidRDefault="003B2C29">
      <w:pPr>
        <w:spacing w:before="77"/>
        <w:ind w:left="178"/>
      </w:pPr>
    </w:p>
    <w:p w14:paraId="392CC711" w14:textId="0DA4F388" w:rsidR="003724DD" w:rsidRPr="00464F37" w:rsidRDefault="003B2C29">
      <w:pPr>
        <w:spacing w:before="77"/>
        <w:ind w:left="178"/>
        <w:rPr>
          <w:sz w:val="24"/>
        </w:rPr>
      </w:pPr>
      <w:hyperlink r:id="rId7" w:anchor="72f1797ed7c925aa4">
        <w:r w:rsidR="00BC6C76" w:rsidRPr="00464F37">
          <w:rPr>
            <w:sz w:val="24"/>
          </w:rPr>
          <w:t>CONSUMER AND PERSONAL LOANS (CCCFA) FAQ'S &amp; FEES</w:t>
        </w:r>
      </w:hyperlink>
    </w:p>
    <w:p w14:paraId="05DDA9FA" w14:textId="77777777" w:rsidR="003724DD" w:rsidRDefault="003724DD">
      <w:pPr>
        <w:pStyle w:val="BodyText"/>
        <w:spacing w:before="1"/>
        <w:ind w:left="0"/>
        <w:rPr>
          <w:sz w:val="37"/>
        </w:rPr>
      </w:pPr>
    </w:p>
    <w:p w14:paraId="23CE8449" w14:textId="634A82A1" w:rsidR="003724DD" w:rsidRDefault="00BC6C76">
      <w:pPr>
        <w:pStyle w:val="BodyText"/>
        <w:ind w:left="178"/>
        <w:rPr>
          <w:color w:val="747474"/>
          <w:sz w:val="24"/>
          <w:szCs w:val="24"/>
        </w:rPr>
      </w:pPr>
      <w:r w:rsidRPr="00CA31EC">
        <w:rPr>
          <w:sz w:val="24"/>
          <w:szCs w:val="24"/>
        </w:rPr>
        <w:t>THE FOLLOWING FEES MAY BE PAYABLE BY YOU FOR THE FOLLOWING</w:t>
      </w:r>
      <w:r w:rsidRPr="00CA31EC">
        <w:rPr>
          <w:color w:val="747474"/>
          <w:sz w:val="24"/>
          <w:szCs w:val="24"/>
        </w:rPr>
        <w:t>:</w:t>
      </w:r>
    </w:p>
    <w:p w14:paraId="3C8253F3" w14:textId="77777777" w:rsidR="003B2C29" w:rsidRPr="00CA31EC" w:rsidRDefault="003B2C29">
      <w:pPr>
        <w:pStyle w:val="BodyText"/>
        <w:ind w:left="178"/>
        <w:rPr>
          <w:sz w:val="24"/>
          <w:szCs w:val="24"/>
        </w:rPr>
      </w:pPr>
    </w:p>
    <w:p w14:paraId="44B59B4B" w14:textId="77777777" w:rsidR="003724DD" w:rsidRDefault="003724DD">
      <w:pPr>
        <w:pStyle w:val="BodyText"/>
        <w:spacing w:before="7" w:after="1"/>
        <w:ind w:left="0"/>
        <w:rPr>
          <w:sz w:val="26"/>
        </w:rPr>
      </w:pPr>
    </w:p>
    <w:tbl>
      <w:tblPr>
        <w:tblW w:w="0" w:type="auto"/>
        <w:tblInd w:w="178" w:type="dxa"/>
        <w:tblLayout w:type="fixed"/>
        <w:tblCellMar>
          <w:left w:w="0" w:type="dxa"/>
          <w:right w:w="0" w:type="dxa"/>
        </w:tblCellMar>
        <w:tblLook w:val="01E0" w:firstRow="1" w:lastRow="1" w:firstColumn="1" w:lastColumn="1" w:noHBand="0" w:noVBand="0"/>
      </w:tblPr>
      <w:tblGrid>
        <w:gridCol w:w="2077"/>
        <w:gridCol w:w="1532"/>
        <w:gridCol w:w="5423"/>
      </w:tblGrid>
      <w:tr w:rsidR="003724DD" w14:paraId="43EF0EF1" w14:textId="77777777">
        <w:trPr>
          <w:trHeight w:val="876"/>
        </w:trPr>
        <w:tc>
          <w:tcPr>
            <w:tcW w:w="2077" w:type="dxa"/>
            <w:shd w:val="clear" w:color="auto" w:fill="AB8862"/>
          </w:tcPr>
          <w:p w14:paraId="06135D9F" w14:textId="77777777" w:rsidR="003724DD" w:rsidRDefault="003724DD">
            <w:pPr>
              <w:pStyle w:val="TableParagraph"/>
              <w:spacing w:before="10"/>
              <w:rPr>
                <w:sz w:val="24"/>
              </w:rPr>
            </w:pPr>
          </w:p>
          <w:p w14:paraId="2FFB5A47" w14:textId="77777777" w:rsidR="003724DD" w:rsidRDefault="00BC6C76">
            <w:pPr>
              <w:pStyle w:val="TableParagraph"/>
              <w:ind w:left="302"/>
              <w:rPr>
                <w:sz w:val="24"/>
              </w:rPr>
            </w:pPr>
            <w:r>
              <w:rPr>
                <w:color w:val="FFFFFF"/>
                <w:sz w:val="24"/>
              </w:rPr>
              <w:t>Fee Type</w:t>
            </w:r>
          </w:p>
        </w:tc>
        <w:tc>
          <w:tcPr>
            <w:tcW w:w="1532" w:type="dxa"/>
            <w:shd w:val="clear" w:color="auto" w:fill="AB8862"/>
          </w:tcPr>
          <w:p w14:paraId="58C33480" w14:textId="77777777" w:rsidR="003724DD" w:rsidRDefault="003724DD">
            <w:pPr>
              <w:pStyle w:val="TableParagraph"/>
              <w:spacing w:before="10"/>
              <w:rPr>
                <w:sz w:val="24"/>
              </w:rPr>
            </w:pPr>
          </w:p>
          <w:p w14:paraId="53C2031E" w14:textId="77777777" w:rsidR="003724DD" w:rsidRDefault="00BC6C76">
            <w:pPr>
              <w:pStyle w:val="TableParagraph"/>
              <w:ind w:left="390"/>
              <w:rPr>
                <w:sz w:val="24"/>
              </w:rPr>
            </w:pPr>
            <w:r>
              <w:rPr>
                <w:color w:val="FFFFFF"/>
                <w:sz w:val="24"/>
              </w:rPr>
              <w:t>Amount</w:t>
            </w:r>
          </w:p>
        </w:tc>
        <w:tc>
          <w:tcPr>
            <w:tcW w:w="5423" w:type="dxa"/>
            <w:shd w:val="clear" w:color="auto" w:fill="AB8862"/>
          </w:tcPr>
          <w:p w14:paraId="54FE6FF6" w14:textId="77777777" w:rsidR="003724DD" w:rsidRDefault="003724DD">
            <w:pPr>
              <w:pStyle w:val="TableParagraph"/>
              <w:spacing w:before="10"/>
              <w:rPr>
                <w:sz w:val="24"/>
              </w:rPr>
            </w:pPr>
          </w:p>
          <w:p w14:paraId="401A16F2" w14:textId="77777777" w:rsidR="003724DD" w:rsidRDefault="002E7C12">
            <w:pPr>
              <w:pStyle w:val="TableParagraph"/>
              <w:ind w:left="281"/>
              <w:rPr>
                <w:sz w:val="24"/>
              </w:rPr>
            </w:pPr>
            <w:r>
              <w:rPr>
                <w:color w:val="FFFFFF"/>
                <w:sz w:val="24"/>
              </w:rPr>
              <w:t>Explanation of Fee</w:t>
            </w:r>
          </w:p>
        </w:tc>
      </w:tr>
      <w:tr w:rsidR="003724DD" w:rsidRPr="00464F37" w14:paraId="152233AF" w14:textId="77777777">
        <w:trPr>
          <w:trHeight w:val="866"/>
        </w:trPr>
        <w:tc>
          <w:tcPr>
            <w:tcW w:w="2077" w:type="dxa"/>
            <w:tcBorders>
              <w:bottom w:val="single" w:sz="6" w:space="0" w:color="DFDEDE"/>
            </w:tcBorders>
          </w:tcPr>
          <w:p w14:paraId="451D02E6" w14:textId="77777777" w:rsidR="003724DD" w:rsidRPr="00464F37" w:rsidRDefault="00BC6C76">
            <w:pPr>
              <w:pStyle w:val="TableParagraph"/>
              <w:spacing w:before="134"/>
              <w:ind w:left="302" w:right="373"/>
            </w:pPr>
            <w:r w:rsidRPr="00464F37">
              <w:rPr>
                <w:color w:val="808080"/>
              </w:rPr>
              <w:t>Establishment Fee</w:t>
            </w:r>
          </w:p>
        </w:tc>
        <w:tc>
          <w:tcPr>
            <w:tcW w:w="1532" w:type="dxa"/>
            <w:tcBorders>
              <w:bottom w:val="single" w:sz="6" w:space="0" w:color="DFDEDE"/>
            </w:tcBorders>
          </w:tcPr>
          <w:p w14:paraId="0505191C" w14:textId="77777777" w:rsidR="003724DD" w:rsidRPr="00464F37" w:rsidRDefault="00BC6C76">
            <w:pPr>
              <w:pStyle w:val="TableParagraph"/>
              <w:spacing w:before="134" w:line="252" w:lineRule="exact"/>
              <w:ind w:left="390"/>
            </w:pPr>
            <w:r w:rsidRPr="00464F37">
              <w:rPr>
                <w:color w:val="808080"/>
              </w:rPr>
              <w:t>$100</w:t>
            </w:r>
            <w:r w:rsidR="006842A2" w:rsidRPr="00464F37">
              <w:rPr>
                <w:color w:val="808080"/>
              </w:rPr>
              <w:t>.00</w:t>
            </w:r>
            <w:r w:rsidRPr="00464F37">
              <w:rPr>
                <w:color w:val="808080"/>
              </w:rPr>
              <w:t xml:space="preserve"> –</w:t>
            </w:r>
          </w:p>
          <w:p w14:paraId="2FA0FBB3" w14:textId="77777777" w:rsidR="003724DD" w:rsidRPr="00464F37" w:rsidRDefault="00BC6C76">
            <w:pPr>
              <w:pStyle w:val="TableParagraph"/>
              <w:spacing w:line="252" w:lineRule="exact"/>
              <w:ind w:left="390"/>
            </w:pPr>
            <w:r w:rsidRPr="00464F37">
              <w:rPr>
                <w:color w:val="808080"/>
              </w:rPr>
              <w:t>$1</w:t>
            </w:r>
            <w:r w:rsidR="006842A2" w:rsidRPr="00464F37">
              <w:rPr>
                <w:color w:val="808080"/>
              </w:rPr>
              <w:t>,</w:t>
            </w:r>
            <w:r w:rsidRPr="00464F37">
              <w:rPr>
                <w:color w:val="808080"/>
              </w:rPr>
              <w:t>000</w:t>
            </w:r>
            <w:r w:rsidR="006842A2" w:rsidRPr="00464F37">
              <w:rPr>
                <w:color w:val="808080"/>
              </w:rPr>
              <w:t>.00</w:t>
            </w:r>
          </w:p>
        </w:tc>
        <w:tc>
          <w:tcPr>
            <w:tcW w:w="5423" w:type="dxa"/>
            <w:tcBorders>
              <w:bottom w:val="single" w:sz="6" w:space="0" w:color="DFDEDE"/>
            </w:tcBorders>
          </w:tcPr>
          <w:p w14:paraId="4DE4C22A" w14:textId="77777777" w:rsidR="003724DD" w:rsidRPr="00464F37" w:rsidRDefault="003724DD">
            <w:pPr>
              <w:pStyle w:val="TableParagraph"/>
              <w:spacing w:before="8"/>
            </w:pPr>
          </w:p>
          <w:p w14:paraId="5BF9B1AD" w14:textId="77777777" w:rsidR="003724DD" w:rsidRPr="00464F37" w:rsidRDefault="006F4531">
            <w:pPr>
              <w:pStyle w:val="TableParagraph"/>
              <w:ind w:left="281" w:right="1025"/>
              <w:rPr>
                <w:color w:val="808080" w:themeColor="background1" w:themeShade="80"/>
              </w:rPr>
            </w:pPr>
            <w:r w:rsidRPr="00464F37">
              <w:rPr>
                <w:color w:val="808080" w:themeColor="background1" w:themeShade="80"/>
                <w:w w:val="105"/>
              </w:rPr>
              <w:t xml:space="preserve">This is a credit fee to compensate us </w:t>
            </w:r>
            <w:r w:rsidR="00464F37">
              <w:rPr>
                <w:color w:val="808080" w:themeColor="background1" w:themeShade="80"/>
                <w:w w:val="105"/>
              </w:rPr>
              <w:t xml:space="preserve">   </w:t>
            </w:r>
            <w:r w:rsidRPr="00464F37">
              <w:rPr>
                <w:color w:val="808080" w:themeColor="background1" w:themeShade="80"/>
                <w:w w:val="105"/>
              </w:rPr>
              <w:t>for some of our reasonable costs relating to the establishment of this loan</w:t>
            </w:r>
          </w:p>
        </w:tc>
      </w:tr>
      <w:tr w:rsidR="003724DD" w:rsidRPr="00464F37" w14:paraId="488F07FE" w14:textId="77777777">
        <w:trPr>
          <w:trHeight w:val="837"/>
        </w:trPr>
        <w:tc>
          <w:tcPr>
            <w:tcW w:w="2077" w:type="dxa"/>
            <w:tcBorders>
              <w:top w:val="single" w:sz="6" w:space="0" w:color="DFDEDE"/>
              <w:bottom w:val="single" w:sz="6" w:space="0" w:color="DFDEDE"/>
            </w:tcBorders>
          </w:tcPr>
          <w:p w14:paraId="5C258163" w14:textId="77777777" w:rsidR="003724DD" w:rsidRPr="00464F37" w:rsidRDefault="00BC6C76">
            <w:pPr>
              <w:pStyle w:val="TableParagraph"/>
              <w:spacing w:before="119"/>
              <w:ind w:left="302" w:right="520"/>
            </w:pPr>
            <w:r w:rsidRPr="00464F37">
              <w:rPr>
                <w:color w:val="808080"/>
              </w:rPr>
              <w:t>LINZ Search Fee</w:t>
            </w:r>
          </w:p>
        </w:tc>
        <w:tc>
          <w:tcPr>
            <w:tcW w:w="1532" w:type="dxa"/>
            <w:tcBorders>
              <w:top w:val="single" w:sz="6" w:space="0" w:color="DFDEDE"/>
              <w:bottom w:val="single" w:sz="6" w:space="0" w:color="DFDEDE"/>
            </w:tcBorders>
          </w:tcPr>
          <w:p w14:paraId="25E19160" w14:textId="77777777" w:rsidR="003724DD" w:rsidRPr="00464F37" w:rsidRDefault="003724DD">
            <w:pPr>
              <w:pStyle w:val="TableParagraph"/>
              <w:spacing w:before="7"/>
            </w:pPr>
          </w:p>
          <w:p w14:paraId="5992E49E" w14:textId="480CEE74" w:rsidR="003724DD" w:rsidRPr="00464F37" w:rsidRDefault="00BC6C76">
            <w:pPr>
              <w:pStyle w:val="TableParagraph"/>
              <w:spacing w:before="1"/>
              <w:ind w:left="390"/>
            </w:pPr>
            <w:r w:rsidRPr="00464F37">
              <w:rPr>
                <w:color w:val="808080"/>
              </w:rPr>
              <w:t>$</w:t>
            </w:r>
            <w:r w:rsidR="00104966">
              <w:rPr>
                <w:color w:val="808080"/>
              </w:rPr>
              <w:t>6</w:t>
            </w:r>
            <w:r w:rsidRPr="00464F37">
              <w:rPr>
                <w:color w:val="808080"/>
              </w:rPr>
              <w:t>.00</w:t>
            </w:r>
          </w:p>
        </w:tc>
        <w:tc>
          <w:tcPr>
            <w:tcW w:w="5423" w:type="dxa"/>
            <w:tcBorders>
              <w:top w:val="single" w:sz="6" w:space="0" w:color="DFDEDE"/>
              <w:bottom w:val="single" w:sz="6" w:space="0" w:color="DFDEDE"/>
            </w:tcBorders>
          </w:tcPr>
          <w:p w14:paraId="73596BF2" w14:textId="77777777" w:rsidR="003724DD" w:rsidRPr="00464F37" w:rsidRDefault="006F4531" w:rsidP="006F4531">
            <w:pPr>
              <w:pStyle w:val="TableParagraph"/>
              <w:spacing w:before="32" w:line="300" w:lineRule="auto"/>
              <w:ind w:left="324" w:right="-4"/>
              <w:rPr>
                <w:color w:val="808080" w:themeColor="background1" w:themeShade="80"/>
              </w:rPr>
            </w:pPr>
            <w:r w:rsidRPr="00464F37">
              <w:rPr>
                <w:color w:val="808080" w:themeColor="background1" w:themeShade="80"/>
              </w:rPr>
              <w:t>This is for the costs we incur when we complete          searches at LINZ in relation to our security in this loan</w:t>
            </w:r>
          </w:p>
        </w:tc>
      </w:tr>
      <w:tr w:rsidR="003724DD" w:rsidRPr="00464F37" w14:paraId="2D6E8ADC" w14:textId="77777777">
        <w:trPr>
          <w:trHeight w:val="1113"/>
        </w:trPr>
        <w:tc>
          <w:tcPr>
            <w:tcW w:w="2077" w:type="dxa"/>
            <w:tcBorders>
              <w:top w:val="single" w:sz="6" w:space="0" w:color="DFDEDE"/>
              <w:bottom w:val="single" w:sz="6" w:space="0" w:color="DFDEDE"/>
            </w:tcBorders>
          </w:tcPr>
          <w:p w14:paraId="32327676" w14:textId="77777777" w:rsidR="003724DD" w:rsidRPr="00464F37" w:rsidRDefault="003724DD">
            <w:pPr>
              <w:pStyle w:val="TableParagraph"/>
              <w:spacing w:before="7"/>
            </w:pPr>
          </w:p>
          <w:p w14:paraId="54F768E1" w14:textId="77777777" w:rsidR="003724DD" w:rsidRPr="00464F37" w:rsidRDefault="00BC6C76">
            <w:pPr>
              <w:pStyle w:val="TableParagraph"/>
              <w:spacing w:before="1"/>
              <w:ind w:left="302" w:right="923"/>
            </w:pPr>
            <w:r w:rsidRPr="00464F37">
              <w:rPr>
                <w:color w:val="808080"/>
              </w:rPr>
              <w:t>Call to Property</w:t>
            </w:r>
          </w:p>
        </w:tc>
        <w:tc>
          <w:tcPr>
            <w:tcW w:w="1532" w:type="dxa"/>
            <w:tcBorders>
              <w:top w:val="single" w:sz="6" w:space="0" w:color="DFDEDE"/>
              <w:bottom w:val="single" w:sz="6" w:space="0" w:color="DFDEDE"/>
            </w:tcBorders>
          </w:tcPr>
          <w:p w14:paraId="327F5BAD" w14:textId="77777777" w:rsidR="003724DD" w:rsidRPr="00464F37" w:rsidRDefault="003724DD">
            <w:pPr>
              <w:pStyle w:val="TableParagraph"/>
              <w:spacing w:before="5"/>
            </w:pPr>
          </w:p>
          <w:p w14:paraId="5AECD0D1" w14:textId="77777777" w:rsidR="003724DD" w:rsidRPr="00464F37" w:rsidRDefault="00BC6C76">
            <w:pPr>
              <w:pStyle w:val="TableParagraph"/>
              <w:spacing w:line="252" w:lineRule="exact"/>
              <w:ind w:left="390"/>
            </w:pPr>
            <w:r w:rsidRPr="00464F37">
              <w:rPr>
                <w:color w:val="808080"/>
              </w:rPr>
              <w:t>$100</w:t>
            </w:r>
            <w:r w:rsidR="006842A2" w:rsidRPr="00464F37">
              <w:rPr>
                <w:color w:val="808080"/>
              </w:rPr>
              <w:t>.00</w:t>
            </w:r>
            <w:r w:rsidRPr="00464F37">
              <w:rPr>
                <w:color w:val="808080"/>
              </w:rPr>
              <w:t xml:space="preserve"> –</w:t>
            </w:r>
          </w:p>
          <w:p w14:paraId="4A13BB04" w14:textId="77777777" w:rsidR="003724DD" w:rsidRPr="00464F37" w:rsidRDefault="00BC6C76">
            <w:pPr>
              <w:pStyle w:val="TableParagraph"/>
              <w:spacing w:line="252" w:lineRule="exact"/>
              <w:ind w:left="390"/>
            </w:pPr>
            <w:r w:rsidRPr="00464F37">
              <w:rPr>
                <w:color w:val="808080"/>
              </w:rPr>
              <w:t>$200</w:t>
            </w:r>
            <w:r w:rsidR="006842A2" w:rsidRPr="00464F37">
              <w:rPr>
                <w:color w:val="808080"/>
              </w:rPr>
              <w:t>.00</w:t>
            </w:r>
          </w:p>
        </w:tc>
        <w:tc>
          <w:tcPr>
            <w:tcW w:w="5423" w:type="dxa"/>
            <w:tcBorders>
              <w:top w:val="single" w:sz="6" w:space="0" w:color="DFDEDE"/>
              <w:bottom w:val="single" w:sz="6" w:space="0" w:color="DFDEDE"/>
            </w:tcBorders>
          </w:tcPr>
          <w:p w14:paraId="71FA612A" w14:textId="77777777" w:rsidR="003724DD" w:rsidRPr="00464F37" w:rsidRDefault="006F4531">
            <w:pPr>
              <w:pStyle w:val="TableParagraph"/>
              <w:spacing w:before="122"/>
              <w:ind w:left="281" w:right="291"/>
              <w:rPr>
                <w:color w:val="808080" w:themeColor="background1" w:themeShade="80"/>
              </w:rPr>
            </w:pPr>
            <w:r w:rsidRPr="00464F37">
              <w:rPr>
                <w:color w:val="808080" w:themeColor="background1" w:themeShade="80"/>
                <w:spacing w:val="2"/>
                <w:w w:val="105"/>
              </w:rPr>
              <w:t>This is a fee for an optional service that you have chosen</w:t>
            </w:r>
          </w:p>
        </w:tc>
      </w:tr>
      <w:tr w:rsidR="003724DD" w:rsidRPr="00464F37" w14:paraId="62843DB3" w14:textId="77777777">
        <w:trPr>
          <w:trHeight w:val="928"/>
        </w:trPr>
        <w:tc>
          <w:tcPr>
            <w:tcW w:w="2077" w:type="dxa"/>
            <w:tcBorders>
              <w:top w:val="single" w:sz="6" w:space="0" w:color="DFDEDE"/>
              <w:bottom w:val="single" w:sz="6" w:space="0" w:color="DFDEDE"/>
            </w:tcBorders>
          </w:tcPr>
          <w:p w14:paraId="04D1E47B" w14:textId="5090B3E5" w:rsidR="003724DD" w:rsidRPr="00464F37" w:rsidRDefault="000E0038">
            <w:pPr>
              <w:pStyle w:val="TableParagraph"/>
              <w:spacing w:before="119"/>
              <w:ind w:left="302" w:right="483"/>
            </w:pPr>
            <w:r>
              <w:rPr>
                <w:color w:val="808080"/>
              </w:rPr>
              <w:t>Centrix</w:t>
            </w:r>
            <w:r w:rsidR="00BC6C76" w:rsidRPr="00464F37">
              <w:rPr>
                <w:color w:val="808080"/>
              </w:rPr>
              <w:t xml:space="preserve"> Search Fee</w:t>
            </w:r>
          </w:p>
        </w:tc>
        <w:tc>
          <w:tcPr>
            <w:tcW w:w="1532" w:type="dxa"/>
            <w:tcBorders>
              <w:top w:val="single" w:sz="6" w:space="0" w:color="DFDEDE"/>
              <w:bottom w:val="single" w:sz="6" w:space="0" w:color="DFDEDE"/>
            </w:tcBorders>
          </w:tcPr>
          <w:p w14:paraId="0336EBE6" w14:textId="77777777" w:rsidR="003724DD" w:rsidRPr="00464F37" w:rsidRDefault="003724DD">
            <w:pPr>
              <w:pStyle w:val="TableParagraph"/>
              <w:spacing w:before="7"/>
            </w:pPr>
          </w:p>
          <w:p w14:paraId="6D048648" w14:textId="65149C89" w:rsidR="003724DD" w:rsidRPr="00464F37" w:rsidRDefault="006842A2">
            <w:pPr>
              <w:pStyle w:val="TableParagraph"/>
              <w:spacing w:before="1"/>
              <w:ind w:left="390"/>
            </w:pPr>
            <w:r w:rsidRPr="00464F37">
              <w:rPr>
                <w:color w:val="808080"/>
              </w:rPr>
              <w:t>$</w:t>
            </w:r>
            <w:r w:rsidR="000E0038">
              <w:rPr>
                <w:color w:val="808080"/>
              </w:rPr>
              <w:t>8</w:t>
            </w:r>
            <w:r w:rsidRPr="00464F37">
              <w:rPr>
                <w:color w:val="808080"/>
              </w:rPr>
              <w:t>.00</w:t>
            </w:r>
          </w:p>
        </w:tc>
        <w:tc>
          <w:tcPr>
            <w:tcW w:w="5423" w:type="dxa"/>
            <w:tcBorders>
              <w:top w:val="single" w:sz="6" w:space="0" w:color="DFDEDE"/>
              <w:bottom w:val="single" w:sz="6" w:space="0" w:color="DFDEDE"/>
            </w:tcBorders>
          </w:tcPr>
          <w:p w14:paraId="61A06D0C" w14:textId="77777777" w:rsidR="003724DD" w:rsidRPr="00464F37" w:rsidRDefault="006F4531">
            <w:pPr>
              <w:pStyle w:val="TableParagraph"/>
              <w:spacing w:before="119"/>
              <w:ind w:left="281" w:right="755"/>
              <w:rPr>
                <w:color w:val="808080" w:themeColor="background1" w:themeShade="80"/>
              </w:rPr>
            </w:pPr>
            <w:r w:rsidRPr="00464F37">
              <w:rPr>
                <w:color w:val="808080" w:themeColor="background1" w:themeShade="80"/>
                <w:w w:val="105"/>
              </w:rPr>
              <w:t>This is for the costs we incur when we obtain a credit report.</w:t>
            </w:r>
          </w:p>
        </w:tc>
      </w:tr>
      <w:tr w:rsidR="003724DD" w:rsidRPr="00464F37" w14:paraId="29013D79" w14:textId="77777777">
        <w:trPr>
          <w:trHeight w:val="1638"/>
        </w:trPr>
        <w:tc>
          <w:tcPr>
            <w:tcW w:w="2077" w:type="dxa"/>
            <w:tcBorders>
              <w:top w:val="single" w:sz="6" w:space="0" w:color="DFDEDE"/>
            </w:tcBorders>
          </w:tcPr>
          <w:p w14:paraId="25909734" w14:textId="77777777" w:rsidR="003724DD" w:rsidRPr="00464F37" w:rsidRDefault="003724DD">
            <w:pPr>
              <w:pStyle w:val="TableParagraph"/>
            </w:pPr>
          </w:p>
          <w:p w14:paraId="3705776A" w14:textId="77777777" w:rsidR="003724DD" w:rsidRPr="00464F37" w:rsidRDefault="003724DD">
            <w:pPr>
              <w:pStyle w:val="TableParagraph"/>
              <w:spacing w:before="7"/>
            </w:pPr>
          </w:p>
          <w:p w14:paraId="67C2E8F5" w14:textId="77777777" w:rsidR="003724DD" w:rsidRPr="00464F37" w:rsidRDefault="00BC6C76">
            <w:pPr>
              <w:pStyle w:val="TableParagraph"/>
              <w:ind w:left="302"/>
            </w:pPr>
            <w:r w:rsidRPr="00464F37">
              <w:rPr>
                <w:color w:val="808080"/>
              </w:rPr>
              <w:t>Legal Fees</w:t>
            </w:r>
          </w:p>
        </w:tc>
        <w:tc>
          <w:tcPr>
            <w:tcW w:w="1532" w:type="dxa"/>
            <w:tcBorders>
              <w:top w:val="single" w:sz="6" w:space="0" w:color="DFDEDE"/>
            </w:tcBorders>
          </w:tcPr>
          <w:p w14:paraId="3B6FFBD6" w14:textId="77777777" w:rsidR="003724DD" w:rsidRPr="00464F37" w:rsidRDefault="003724DD">
            <w:pPr>
              <w:pStyle w:val="TableParagraph"/>
            </w:pPr>
          </w:p>
          <w:p w14:paraId="521D0BBF" w14:textId="77777777" w:rsidR="003724DD" w:rsidRPr="00464F37" w:rsidRDefault="003724DD">
            <w:pPr>
              <w:pStyle w:val="TableParagraph"/>
              <w:spacing w:before="7"/>
            </w:pPr>
          </w:p>
          <w:p w14:paraId="3F587168" w14:textId="77777777" w:rsidR="003724DD" w:rsidRPr="00464F37" w:rsidRDefault="006842A2">
            <w:pPr>
              <w:pStyle w:val="TableParagraph"/>
              <w:spacing w:line="252" w:lineRule="exact"/>
              <w:ind w:left="390"/>
            </w:pPr>
            <w:r w:rsidRPr="00464F37">
              <w:rPr>
                <w:color w:val="808080"/>
              </w:rPr>
              <w:t>$75</w:t>
            </w:r>
            <w:r w:rsidR="00BC6C76" w:rsidRPr="00464F37">
              <w:rPr>
                <w:color w:val="808080"/>
              </w:rPr>
              <w:t>0</w:t>
            </w:r>
            <w:r w:rsidRPr="00464F37">
              <w:rPr>
                <w:color w:val="808080"/>
              </w:rPr>
              <w:t>.00</w:t>
            </w:r>
            <w:r w:rsidR="00BC6C76" w:rsidRPr="00464F37">
              <w:rPr>
                <w:color w:val="808080"/>
              </w:rPr>
              <w:t xml:space="preserve"> –</w:t>
            </w:r>
          </w:p>
          <w:p w14:paraId="3F038683" w14:textId="77777777" w:rsidR="003724DD" w:rsidRPr="00464F37" w:rsidRDefault="00BC6C76">
            <w:pPr>
              <w:pStyle w:val="TableParagraph"/>
              <w:spacing w:line="252" w:lineRule="exact"/>
              <w:ind w:left="390"/>
            </w:pPr>
            <w:r w:rsidRPr="00464F37">
              <w:rPr>
                <w:color w:val="808080"/>
              </w:rPr>
              <w:t>$3,000</w:t>
            </w:r>
            <w:r w:rsidR="006842A2" w:rsidRPr="00464F37">
              <w:rPr>
                <w:color w:val="808080"/>
              </w:rPr>
              <w:t>.00</w:t>
            </w:r>
          </w:p>
        </w:tc>
        <w:tc>
          <w:tcPr>
            <w:tcW w:w="5423" w:type="dxa"/>
            <w:tcBorders>
              <w:top w:val="single" w:sz="6" w:space="0" w:color="DFDEDE"/>
            </w:tcBorders>
          </w:tcPr>
          <w:p w14:paraId="054C205E" w14:textId="77777777" w:rsidR="003724DD" w:rsidRPr="00464F37" w:rsidRDefault="00BC6C76">
            <w:pPr>
              <w:pStyle w:val="TableParagraph"/>
              <w:spacing w:before="119"/>
              <w:ind w:left="281" w:right="548"/>
            </w:pPr>
            <w:r w:rsidRPr="00464F37">
              <w:rPr>
                <w:color w:val="808080"/>
              </w:rPr>
              <w:t>Our legal fees are variable based on the direct cost to us for legal services in preparing the loan contracts, checking security details, providing instructions to your solicitor. A fixed</w:t>
            </w:r>
          </w:p>
          <w:p w14:paraId="54826248" w14:textId="77777777" w:rsidR="003724DD" w:rsidRPr="00464F37" w:rsidRDefault="00BC6C76">
            <w:pPr>
              <w:pStyle w:val="TableParagraph"/>
              <w:spacing w:before="6" w:line="252" w:lineRule="exact"/>
              <w:ind w:left="281" w:right="548"/>
            </w:pPr>
            <w:r w:rsidRPr="00464F37">
              <w:rPr>
                <w:color w:val="808080"/>
              </w:rPr>
              <w:t>quote will be given wh</w:t>
            </w:r>
            <w:r w:rsidR="006F4531" w:rsidRPr="00464F37">
              <w:rPr>
                <w:color w:val="808080"/>
              </w:rPr>
              <w:t>en we provide a Letter of Offer if legal fees are to be incurred</w:t>
            </w:r>
          </w:p>
        </w:tc>
      </w:tr>
    </w:tbl>
    <w:p w14:paraId="2FA01237" w14:textId="77777777" w:rsidR="002E7C12" w:rsidRPr="00464F37" w:rsidRDefault="00464F37">
      <w:pPr>
        <w:pStyle w:val="BodyText"/>
        <w:spacing w:before="11"/>
        <w:ind w:left="0"/>
        <w:rPr>
          <w:sz w:val="22"/>
          <w:szCs w:val="22"/>
        </w:rPr>
      </w:pP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r w:rsidRPr="00464F37">
        <w:rPr>
          <w:sz w:val="22"/>
          <w:szCs w:val="22"/>
        </w:rPr>
        <w:tab/>
      </w:r>
    </w:p>
    <w:p w14:paraId="2AE797DB" w14:textId="77777777" w:rsidR="00464F37" w:rsidRPr="00464F37" w:rsidRDefault="002E7C12">
      <w:pPr>
        <w:pStyle w:val="BodyText"/>
        <w:spacing w:before="11"/>
        <w:ind w:left="0"/>
        <w:rPr>
          <w:color w:val="D9D9D9" w:themeColor="background1" w:themeShade="D9"/>
          <w:sz w:val="22"/>
          <w:szCs w:val="22"/>
          <w:u w:val="single"/>
        </w:rPr>
      </w:pPr>
      <w:r w:rsidRPr="00464F37">
        <w:rPr>
          <w:sz w:val="22"/>
          <w:szCs w:val="22"/>
        </w:rPr>
        <w:t xml:space="preserve">       </w:t>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00464F37" w:rsidRPr="00464F37">
        <w:rPr>
          <w:color w:val="D9D9D9" w:themeColor="background1" w:themeShade="D9"/>
          <w:sz w:val="22"/>
          <w:szCs w:val="22"/>
          <w:u w:val="single"/>
        </w:rPr>
        <w:tab/>
      </w:r>
      <w:r w:rsidRPr="00464F37">
        <w:rPr>
          <w:color w:val="D9D9D9" w:themeColor="background1" w:themeShade="D9"/>
          <w:sz w:val="22"/>
          <w:szCs w:val="22"/>
          <w:u w:val="single"/>
        </w:rPr>
        <w:t xml:space="preserve">   </w:t>
      </w:r>
    </w:p>
    <w:p w14:paraId="11B9782A" w14:textId="77777777" w:rsidR="00464F37" w:rsidRDefault="002E7C12">
      <w:pPr>
        <w:pStyle w:val="BodyText"/>
        <w:spacing w:before="11"/>
        <w:ind w:left="0"/>
        <w:rPr>
          <w:sz w:val="22"/>
          <w:szCs w:val="22"/>
        </w:rPr>
      </w:pPr>
      <w:r w:rsidRPr="00464F37">
        <w:rPr>
          <w:sz w:val="22"/>
          <w:szCs w:val="22"/>
        </w:rPr>
        <w:t xml:space="preserve"> </w:t>
      </w:r>
    </w:p>
    <w:p w14:paraId="1343A14D" w14:textId="77777777" w:rsidR="002E7C12" w:rsidRPr="00464F37" w:rsidRDefault="00464F37">
      <w:pPr>
        <w:pStyle w:val="BodyText"/>
        <w:spacing w:before="11"/>
        <w:ind w:left="0"/>
        <w:rPr>
          <w:color w:val="808080" w:themeColor="background1" w:themeShade="80"/>
          <w:sz w:val="22"/>
          <w:szCs w:val="22"/>
        </w:rPr>
      </w:pPr>
      <w:r>
        <w:rPr>
          <w:sz w:val="22"/>
          <w:szCs w:val="22"/>
        </w:rPr>
        <w:t xml:space="preserve">        </w:t>
      </w:r>
      <w:r w:rsidR="002E7C12" w:rsidRPr="00464F37">
        <w:rPr>
          <w:color w:val="808080" w:themeColor="background1" w:themeShade="80"/>
          <w:sz w:val="22"/>
          <w:szCs w:val="22"/>
        </w:rPr>
        <w:t xml:space="preserve">PPSR Fee     </w:t>
      </w:r>
      <w:r>
        <w:rPr>
          <w:color w:val="808080" w:themeColor="background1" w:themeShade="80"/>
          <w:sz w:val="22"/>
          <w:szCs w:val="22"/>
        </w:rPr>
        <w:t xml:space="preserve">               $2.00 –          </w:t>
      </w:r>
      <w:r w:rsidR="002E7C12" w:rsidRPr="00464F37">
        <w:rPr>
          <w:color w:val="808080" w:themeColor="background1" w:themeShade="80"/>
          <w:sz w:val="22"/>
          <w:szCs w:val="22"/>
        </w:rPr>
        <w:t xml:space="preserve">This is for the costs we incur in searching the PPSR </w:t>
      </w:r>
    </w:p>
    <w:p w14:paraId="248FC9BC" w14:textId="77777777" w:rsidR="002E7C12" w:rsidRPr="00464F37" w:rsidRDefault="002E7C12">
      <w:pPr>
        <w:pStyle w:val="BodyText"/>
        <w:spacing w:before="11"/>
        <w:ind w:left="0"/>
        <w:rPr>
          <w:color w:val="808080" w:themeColor="background1" w:themeShade="80"/>
          <w:sz w:val="22"/>
          <w:szCs w:val="22"/>
        </w:rPr>
      </w:pPr>
      <w:r w:rsidRPr="00464F37">
        <w:rPr>
          <w:color w:val="808080" w:themeColor="background1" w:themeShade="80"/>
          <w:sz w:val="22"/>
          <w:szCs w:val="22"/>
        </w:rPr>
        <w:tab/>
      </w:r>
      <w:r w:rsidRPr="00464F37">
        <w:rPr>
          <w:color w:val="808080" w:themeColor="background1" w:themeShade="80"/>
          <w:sz w:val="22"/>
          <w:szCs w:val="22"/>
        </w:rPr>
        <w:tab/>
      </w:r>
      <w:r w:rsidRPr="00464F37">
        <w:rPr>
          <w:color w:val="808080" w:themeColor="background1" w:themeShade="80"/>
          <w:sz w:val="22"/>
          <w:szCs w:val="22"/>
        </w:rPr>
        <w:tab/>
        <w:t xml:space="preserve">      </w:t>
      </w:r>
      <w:r w:rsidR="00464F37">
        <w:rPr>
          <w:color w:val="808080" w:themeColor="background1" w:themeShade="80"/>
          <w:sz w:val="22"/>
          <w:szCs w:val="22"/>
        </w:rPr>
        <w:t xml:space="preserve">   $16.00            </w:t>
      </w:r>
      <w:r w:rsidRPr="00464F37">
        <w:rPr>
          <w:color w:val="808080" w:themeColor="background1" w:themeShade="80"/>
          <w:sz w:val="22"/>
          <w:szCs w:val="22"/>
        </w:rPr>
        <w:t>and/or registering an interest on the PPSR</w:t>
      </w:r>
    </w:p>
    <w:p w14:paraId="3B3B0511" w14:textId="77777777" w:rsidR="002E7C12" w:rsidRPr="00464F37" w:rsidRDefault="002E7C12">
      <w:pPr>
        <w:pStyle w:val="BodyText"/>
        <w:spacing w:before="11"/>
        <w:ind w:left="0"/>
        <w:rPr>
          <w:sz w:val="22"/>
          <w:szCs w:val="22"/>
        </w:rPr>
      </w:pPr>
    </w:p>
    <w:p w14:paraId="623E39DC" w14:textId="77777777" w:rsidR="002E7C12" w:rsidRPr="00464F37" w:rsidRDefault="002E7C12">
      <w:pPr>
        <w:pStyle w:val="BodyText"/>
        <w:spacing w:before="11"/>
        <w:ind w:left="0"/>
        <w:rPr>
          <w:sz w:val="22"/>
          <w:szCs w:val="22"/>
        </w:rPr>
      </w:pPr>
    </w:p>
    <w:p w14:paraId="083EA137" w14:textId="77777777" w:rsidR="002E7C12" w:rsidRPr="00464F37" w:rsidRDefault="002E7C12">
      <w:pPr>
        <w:pStyle w:val="BodyText"/>
        <w:spacing w:before="11"/>
        <w:ind w:left="0"/>
        <w:rPr>
          <w:color w:val="D9D9D9" w:themeColor="background1" w:themeShade="D9"/>
          <w:sz w:val="22"/>
          <w:szCs w:val="22"/>
          <w:u w:val="single"/>
        </w:rPr>
      </w:pPr>
      <w:r w:rsidRPr="00464F37">
        <w:rPr>
          <w:sz w:val="22"/>
          <w:szCs w:val="22"/>
        </w:rPr>
        <w:t xml:space="preserve">  </w:t>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r>
      <w:r w:rsidRPr="00464F37">
        <w:rPr>
          <w:color w:val="D9D9D9" w:themeColor="background1" w:themeShade="D9"/>
          <w:sz w:val="22"/>
          <w:szCs w:val="22"/>
          <w:u w:val="single"/>
        </w:rPr>
        <w:tab/>
        <w:t xml:space="preserve">           </w:t>
      </w:r>
    </w:p>
    <w:p w14:paraId="65BB6ADC" w14:textId="77777777" w:rsidR="002E7C12" w:rsidRPr="00464F37" w:rsidRDefault="002E7C12">
      <w:pPr>
        <w:pStyle w:val="BodyText"/>
        <w:spacing w:before="11"/>
        <w:ind w:left="0"/>
        <w:rPr>
          <w:sz w:val="22"/>
          <w:szCs w:val="22"/>
        </w:rPr>
      </w:pPr>
    </w:p>
    <w:p w14:paraId="61FF5662" w14:textId="4A550EA4" w:rsidR="002E7C12" w:rsidRPr="00464F37" w:rsidRDefault="00464F37">
      <w:pPr>
        <w:pStyle w:val="BodyText"/>
        <w:spacing w:before="11"/>
        <w:ind w:left="0"/>
        <w:rPr>
          <w:color w:val="808080" w:themeColor="background1" w:themeShade="80"/>
          <w:sz w:val="22"/>
          <w:szCs w:val="22"/>
        </w:rPr>
      </w:pPr>
      <w:r>
        <w:rPr>
          <w:sz w:val="22"/>
          <w:szCs w:val="22"/>
        </w:rPr>
        <w:t xml:space="preserve">        </w:t>
      </w:r>
      <w:r w:rsidR="000E0038">
        <w:rPr>
          <w:color w:val="808080" w:themeColor="background1" w:themeShade="80"/>
          <w:sz w:val="22"/>
          <w:szCs w:val="22"/>
        </w:rPr>
        <w:t>Adviser</w:t>
      </w:r>
      <w:r w:rsidR="002E7C12" w:rsidRPr="00464F37">
        <w:rPr>
          <w:color w:val="808080" w:themeColor="background1" w:themeShade="80"/>
          <w:sz w:val="22"/>
          <w:szCs w:val="22"/>
        </w:rPr>
        <w:t xml:space="preserve"> Fee</w:t>
      </w:r>
      <w:r>
        <w:rPr>
          <w:color w:val="808080" w:themeColor="background1" w:themeShade="80"/>
          <w:sz w:val="22"/>
          <w:szCs w:val="22"/>
        </w:rPr>
        <w:t xml:space="preserve">           </w:t>
      </w:r>
      <w:r w:rsidR="000E0038">
        <w:rPr>
          <w:color w:val="808080" w:themeColor="background1" w:themeShade="80"/>
          <w:sz w:val="22"/>
          <w:szCs w:val="22"/>
        </w:rPr>
        <w:t xml:space="preserve">     </w:t>
      </w:r>
      <w:r w:rsidR="002E7C12" w:rsidRPr="00464F37">
        <w:rPr>
          <w:color w:val="808080" w:themeColor="background1" w:themeShade="80"/>
          <w:sz w:val="22"/>
          <w:szCs w:val="22"/>
        </w:rPr>
        <w:t xml:space="preserve">Variable           This is a third party charge due to your </w:t>
      </w:r>
      <w:r w:rsidR="000E0038">
        <w:rPr>
          <w:color w:val="808080" w:themeColor="background1" w:themeShade="80"/>
          <w:sz w:val="22"/>
          <w:szCs w:val="22"/>
        </w:rPr>
        <w:t>adviser</w:t>
      </w:r>
    </w:p>
    <w:p w14:paraId="1BA1CCFD" w14:textId="77777777" w:rsidR="002E7C12" w:rsidRPr="00464F37" w:rsidRDefault="002E7C12">
      <w:pPr>
        <w:pStyle w:val="BodyText"/>
        <w:spacing w:before="11"/>
        <w:ind w:left="0"/>
        <w:rPr>
          <w:color w:val="808080" w:themeColor="background1" w:themeShade="80"/>
          <w:sz w:val="22"/>
          <w:szCs w:val="22"/>
        </w:rPr>
      </w:pPr>
      <w:r w:rsidRPr="00464F37">
        <w:rPr>
          <w:sz w:val="22"/>
          <w:szCs w:val="22"/>
        </w:rPr>
        <w:t xml:space="preserve">                               </w:t>
      </w:r>
      <w:r w:rsidR="00464F37">
        <w:rPr>
          <w:sz w:val="22"/>
          <w:szCs w:val="22"/>
        </w:rPr>
        <w:t xml:space="preserve">            </w:t>
      </w:r>
      <w:r w:rsidRPr="00464F37">
        <w:rPr>
          <w:color w:val="808080" w:themeColor="background1" w:themeShade="80"/>
          <w:sz w:val="22"/>
          <w:szCs w:val="22"/>
        </w:rPr>
        <w:t>based on the</w:t>
      </w:r>
    </w:p>
    <w:p w14:paraId="2941C227" w14:textId="77777777" w:rsidR="002E7C12" w:rsidRPr="00464F37" w:rsidRDefault="002E7C12">
      <w:pPr>
        <w:pStyle w:val="BodyText"/>
        <w:spacing w:before="11"/>
        <w:ind w:left="0"/>
        <w:rPr>
          <w:color w:val="808080" w:themeColor="background1" w:themeShade="80"/>
          <w:sz w:val="22"/>
          <w:szCs w:val="22"/>
        </w:rPr>
      </w:pPr>
      <w:r w:rsidRPr="00464F37">
        <w:rPr>
          <w:color w:val="808080" w:themeColor="background1" w:themeShade="80"/>
          <w:sz w:val="22"/>
          <w:szCs w:val="22"/>
        </w:rPr>
        <w:t xml:space="preserve">                                           direct costs</w:t>
      </w:r>
    </w:p>
    <w:p w14:paraId="5AC22D81" w14:textId="77777777" w:rsidR="002E7C12" w:rsidRPr="00464F37" w:rsidRDefault="002E7C12">
      <w:pPr>
        <w:pStyle w:val="BodyText"/>
        <w:spacing w:before="11"/>
        <w:ind w:left="0"/>
        <w:rPr>
          <w:color w:val="808080" w:themeColor="background1" w:themeShade="80"/>
          <w:sz w:val="22"/>
          <w:szCs w:val="22"/>
        </w:rPr>
      </w:pPr>
      <w:r w:rsidRPr="00464F37">
        <w:rPr>
          <w:color w:val="808080" w:themeColor="background1" w:themeShade="80"/>
          <w:sz w:val="22"/>
          <w:szCs w:val="22"/>
        </w:rPr>
        <w:t xml:space="preserve">                                           charged by</w:t>
      </w:r>
    </w:p>
    <w:p w14:paraId="665897CF" w14:textId="77777777" w:rsidR="002E7C12" w:rsidRPr="00464F37" w:rsidRDefault="002E7C12">
      <w:pPr>
        <w:pStyle w:val="BodyText"/>
        <w:spacing w:before="11"/>
        <w:ind w:left="0"/>
        <w:rPr>
          <w:color w:val="808080" w:themeColor="background1" w:themeShade="80"/>
          <w:sz w:val="22"/>
          <w:szCs w:val="22"/>
        </w:rPr>
      </w:pPr>
      <w:r w:rsidRPr="00464F37">
        <w:rPr>
          <w:color w:val="808080" w:themeColor="background1" w:themeShade="80"/>
          <w:sz w:val="22"/>
          <w:szCs w:val="22"/>
        </w:rPr>
        <w:t xml:space="preserve">                                           your broker</w:t>
      </w:r>
    </w:p>
    <w:p w14:paraId="6FC4DA41" w14:textId="77777777" w:rsidR="002E7C12" w:rsidRDefault="002E7C12">
      <w:pPr>
        <w:pStyle w:val="BodyText"/>
        <w:spacing w:before="11"/>
        <w:ind w:left="0"/>
        <w:rPr>
          <w:sz w:val="15"/>
        </w:rPr>
      </w:pPr>
    </w:p>
    <w:p w14:paraId="6DF5EBB1" w14:textId="77777777" w:rsidR="002E7C12" w:rsidRPr="002E7C12" w:rsidRDefault="002E7C12">
      <w:pPr>
        <w:pStyle w:val="BodyText"/>
        <w:spacing w:before="11"/>
        <w:ind w:left="0"/>
        <w:rPr>
          <w:color w:val="D9D9D9" w:themeColor="background1" w:themeShade="D9"/>
          <w:sz w:val="15"/>
          <w:u w:val="single"/>
        </w:rPr>
      </w:pP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r>
      <w:r>
        <w:rPr>
          <w:color w:val="D9D9D9" w:themeColor="background1" w:themeShade="D9"/>
          <w:sz w:val="15"/>
          <w:u w:val="single"/>
        </w:rPr>
        <w:tab/>
        <w:t xml:space="preserve">          </w:t>
      </w:r>
    </w:p>
    <w:p w14:paraId="0E5FDDB7" w14:textId="77777777" w:rsidR="002E7C12" w:rsidRDefault="002E7C12">
      <w:pPr>
        <w:pStyle w:val="BodyText"/>
        <w:spacing w:before="11"/>
        <w:ind w:left="0"/>
        <w:rPr>
          <w:sz w:val="15"/>
        </w:rPr>
      </w:pPr>
    </w:p>
    <w:p w14:paraId="0EC96510" w14:textId="77777777" w:rsidR="002E7C12" w:rsidRDefault="002E7C12">
      <w:pPr>
        <w:pStyle w:val="BodyText"/>
        <w:spacing w:before="11"/>
        <w:ind w:left="0"/>
        <w:rPr>
          <w:sz w:val="15"/>
        </w:rPr>
      </w:pPr>
    </w:p>
    <w:p w14:paraId="5F36D766" w14:textId="1407718F" w:rsidR="002E7C12" w:rsidRPr="000E0038" w:rsidRDefault="000E0038" w:rsidP="000E0038">
      <w:pPr>
        <w:pStyle w:val="BodyText"/>
        <w:spacing w:before="11"/>
        <w:ind w:left="0"/>
        <w:rPr>
          <w:color w:val="7F7F7F" w:themeColor="text1" w:themeTint="80"/>
          <w:sz w:val="22"/>
          <w:szCs w:val="22"/>
        </w:rPr>
      </w:pPr>
      <w:r>
        <w:rPr>
          <w:color w:val="7F7F7F" w:themeColor="text1" w:themeTint="80"/>
          <w:sz w:val="22"/>
          <w:szCs w:val="22"/>
        </w:rPr>
        <w:t xml:space="preserve">        </w:t>
      </w:r>
      <w:proofErr w:type="spellStart"/>
      <w:r w:rsidRPr="000E0038">
        <w:rPr>
          <w:color w:val="7F7F7F" w:themeColor="text1" w:themeTint="80"/>
          <w:sz w:val="22"/>
          <w:szCs w:val="22"/>
        </w:rPr>
        <w:t>APLYiD</w:t>
      </w:r>
      <w:proofErr w:type="spellEnd"/>
      <w:r w:rsidRPr="000E0038">
        <w:rPr>
          <w:color w:val="7F7F7F" w:themeColor="text1" w:themeTint="80"/>
          <w:sz w:val="22"/>
          <w:szCs w:val="22"/>
        </w:rPr>
        <w:t xml:space="preserve"> Charges</w:t>
      </w:r>
      <w:r>
        <w:rPr>
          <w:color w:val="7F7F7F" w:themeColor="text1" w:themeTint="80"/>
          <w:sz w:val="22"/>
          <w:szCs w:val="22"/>
        </w:rPr>
        <w:t xml:space="preserve">            $30.00          This is for costs we incur in carrying out Biometric    </w:t>
      </w:r>
    </w:p>
    <w:p w14:paraId="55F253EC" w14:textId="7C9C2787" w:rsidR="002E7C12" w:rsidRDefault="000E0038">
      <w:pPr>
        <w:pStyle w:val="BodyText"/>
        <w:spacing w:before="11"/>
        <w:ind w:left="0"/>
        <w:rPr>
          <w:sz w:val="15"/>
        </w:rPr>
      </w:pPr>
      <w:r>
        <w:rPr>
          <w:sz w:val="15"/>
        </w:rPr>
        <w:t xml:space="preserve">                                                                                                    </w:t>
      </w:r>
      <w:r>
        <w:rPr>
          <w:color w:val="7F7F7F" w:themeColor="text1" w:themeTint="80"/>
          <w:sz w:val="22"/>
          <w:szCs w:val="22"/>
        </w:rPr>
        <w:t>Verification checks on borrowers</w:t>
      </w:r>
    </w:p>
    <w:p w14:paraId="4C8A65D7" w14:textId="77777777" w:rsidR="002E7C12" w:rsidRDefault="002E7C12">
      <w:pPr>
        <w:pStyle w:val="BodyText"/>
        <w:spacing w:before="11"/>
        <w:ind w:left="0"/>
        <w:rPr>
          <w:sz w:val="15"/>
        </w:rPr>
      </w:pPr>
    </w:p>
    <w:p w14:paraId="7471D287" w14:textId="77777777" w:rsidR="002E7C12" w:rsidRDefault="002E7C12">
      <w:pPr>
        <w:pStyle w:val="BodyText"/>
        <w:spacing w:before="11"/>
        <w:ind w:left="0"/>
        <w:rPr>
          <w:sz w:val="15"/>
        </w:rPr>
      </w:pPr>
    </w:p>
    <w:p w14:paraId="4DA674B0" w14:textId="77777777" w:rsidR="002E7C12" w:rsidRDefault="002E7C12">
      <w:pPr>
        <w:pStyle w:val="BodyText"/>
        <w:spacing w:before="11"/>
        <w:ind w:left="0"/>
        <w:rPr>
          <w:sz w:val="15"/>
        </w:rPr>
      </w:pPr>
    </w:p>
    <w:p w14:paraId="05D7504B" w14:textId="77777777" w:rsidR="002E7C12" w:rsidRDefault="002E7C12">
      <w:pPr>
        <w:pStyle w:val="BodyText"/>
        <w:spacing w:before="11"/>
        <w:ind w:left="0"/>
        <w:rPr>
          <w:sz w:val="15"/>
        </w:rPr>
      </w:pPr>
    </w:p>
    <w:p w14:paraId="3030043F" w14:textId="77777777" w:rsidR="002E7C12" w:rsidRDefault="002E7C12">
      <w:pPr>
        <w:pStyle w:val="BodyText"/>
        <w:spacing w:before="11"/>
        <w:ind w:left="0"/>
        <w:rPr>
          <w:sz w:val="15"/>
        </w:rPr>
      </w:pPr>
    </w:p>
    <w:p w14:paraId="3D1FA4CD" w14:textId="77777777" w:rsidR="00CA31EC" w:rsidRDefault="00CA31EC">
      <w:pPr>
        <w:pStyle w:val="BodyText"/>
        <w:spacing w:before="11"/>
        <w:ind w:left="0"/>
        <w:rPr>
          <w:sz w:val="15"/>
        </w:rPr>
      </w:pPr>
    </w:p>
    <w:p w14:paraId="020223FE" w14:textId="0B42F4B6" w:rsidR="00CA31EC" w:rsidRDefault="00CA31EC">
      <w:pPr>
        <w:pStyle w:val="BodyText"/>
        <w:spacing w:before="11"/>
        <w:ind w:left="0"/>
        <w:rPr>
          <w:sz w:val="15"/>
        </w:rPr>
      </w:pPr>
    </w:p>
    <w:p w14:paraId="22B2B0ED" w14:textId="77777777" w:rsidR="00406500" w:rsidRDefault="00406500">
      <w:pPr>
        <w:pStyle w:val="BodyText"/>
        <w:spacing w:before="11"/>
        <w:ind w:left="0"/>
        <w:rPr>
          <w:sz w:val="15"/>
        </w:rPr>
      </w:pPr>
    </w:p>
    <w:p w14:paraId="272B80BF" w14:textId="77777777" w:rsidR="00CA31EC" w:rsidRDefault="00CA31EC">
      <w:pPr>
        <w:pStyle w:val="BodyText"/>
        <w:spacing w:before="11"/>
        <w:ind w:left="0"/>
        <w:rPr>
          <w:sz w:val="15"/>
        </w:rPr>
      </w:pPr>
    </w:p>
    <w:p w14:paraId="4AF6DF14" w14:textId="77777777" w:rsidR="00CA31EC" w:rsidRDefault="00CA31EC">
      <w:pPr>
        <w:pStyle w:val="BodyText"/>
        <w:spacing w:before="11"/>
        <w:ind w:left="0"/>
        <w:rPr>
          <w:sz w:val="15"/>
        </w:rPr>
      </w:pPr>
    </w:p>
    <w:p w14:paraId="7BD8DBE0" w14:textId="77777777" w:rsidR="00CA31EC" w:rsidRDefault="00CA31EC">
      <w:pPr>
        <w:pStyle w:val="BodyText"/>
        <w:spacing w:before="11"/>
        <w:ind w:left="0"/>
        <w:rPr>
          <w:sz w:val="15"/>
        </w:rPr>
      </w:pPr>
    </w:p>
    <w:p w14:paraId="497829DE" w14:textId="77777777" w:rsidR="00CA31EC" w:rsidRDefault="00CA31EC">
      <w:pPr>
        <w:pStyle w:val="BodyText"/>
        <w:spacing w:before="11"/>
        <w:ind w:left="0"/>
        <w:rPr>
          <w:sz w:val="15"/>
        </w:rPr>
      </w:pPr>
    </w:p>
    <w:p w14:paraId="21EB0F7A" w14:textId="77777777" w:rsidR="00CA31EC" w:rsidRDefault="00CA31EC">
      <w:pPr>
        <w:pStyle w:val="BodyText"/>
        <w:spacing w:before="11"/>
        <w:ind w:left="0"/>
        <w:rPr>
          <w:sz w:val="15"/>
        </w:rPr>
      </w:pPr>
    </w:p>
    <w:p w14:paraId="51BD8F64" w14:textId="77777777" w:rsidR="00CA31EC" w:rsidRDefault="00CA31EC">
      <w:pPr>
        <w:pStyle w:val="BodyText"/>
        <w:spacing w:before="11"/>
        <w:ind w:left="0"/>
        <w:rPr>
          <w:sz w:val="15"/>
        </w:rPr>
      </w:pPr>
    </w:p>
    <w:p w14:paraId="7032C186" w14:textId="77777777" w:rsidR="00CA31EC" w:rsidRDefault="00CA31EC">
      <w:pPr>
        <w:pStyle w:val="BodyText"/>
        <w:spacing w:before="11"/>
        <w:ind w:left="0"/>
        <w:rPr>
          <w:sz w:val="15"/>
        </w:rPr>
      </w:pPr>
    </w:p>
    <w:p w14:paraId="6637157B" w14:textId="77777777" w:rsidR="00CA31EC" w:rsidRDefault="00CA31EC">
      <w:pPr>
        <w:pStyle w:val="BodyText"/>
        <w:spacing w:before="11"/>
        <w:ind w:left="0"/>
        <w:rPr>
          <w:sz w:val="15"/>
        </w:rPr>
      </w:pPr>
    </w:p>
    <w:p w14:paraId="6A400DC9" w14:textId="77777777" w:rsidR="003724DD" w:rsidRDefault="003B2C29">
      <w:pPr>
        <w:pStyle w:val="BodyText"/>
        <w:spacing w:before="11"/>
        <w:ind w:left="0"/>
        <w:rPr>
          <w:sz w:val="15"/>
        </w:rPr>
      </w:pPr>
      <w:r>
        <w:rPr>
          <w:sz w:val="22"/>
        </w:rPr>
        <w:pict w14:anchorId="4A98C653">
          <v:group id="_x0000_s1027" style="position:absolute;margin-left:70.6pt;margin-top:538.5pt;width:452.1pt;height:.75pt;z-index:251658240;mso-position-horizontal-relative:page;mso-position-vertical-relative:page" coordorigin="1426,10286" coordsize="9042,15">
            <v:line id="_x0000_s1032" style="position:absolute" from="1426,10293" to="3473,10293" strokecolor="#dfdede" strokeweight=".71pt"/>
            <v:line id="_x0000_s1031" style="position:absolute" from="3466,10286" to="3466,10300" strokecolor="#dfdede" strokeweight=".7pt"/>
            <v:line id="_x0000_s1030" style="position:absolute" from="3473,10293" to="5029,10293" strokecolor="#dfdede" strokeweight=".71pt"/>
            <v:line id="_x0000_s1029" style="position:absolute" from="5022,10286" to="5022,10300" strokecolor="#dfdede" strokeweight=".7pt"/>
            <v:line id="_x0000_s1028" style="position:absolute" from="5029,10293" to="10468,10293" strokecolor="#dfdede" strokeweight=".71pt"/>
            <w10:wrap anchorx="page" anchory="page"/>
          </v:group>
        </w:pict>
      </w:r>
      <w:r>
        <w:pict w14:anchorId="61FD348B">
          <v:shapetype id="_x0000_t202" coordsize="21600,21600" o:spt="202" path="m,l,21600r21600,l21600,xe">
            <v:stroke joinstyle="miter"/>
            <v:path gradientshapeok="t" o:connecttype="rect"/>
          </v:shapetype>
          <v:shape id="_x0000_s1026" type="#_x0000_t202" style="position:absolute;margin-left:70.6pt;margin-top:10.4pt;width:454.25pt;height:18pt;z-index:251657216;mso-wrap-distance-left:0;mso-wrap-distance-right:0;mso-position-horizontal-relative:page;mso-position-vertical-relative:text" fillcolor="#ab8862" stroked="f">
            <v:textbox style="mso-next-textbox:#_x0000_s1026" inset="0,0,0,0">
              <w:txbxContent>
                <w:p w14:paraId="014F6BD1" w14:textId="169BC104" w:rsidR="003724DD" w:rsidRDefault="00BC6C76">
                  <w:pPr>
                    <w:pStyle w:val="BodyText"/>
                    <w:spacing w:before="91"/>
                    <w:ind w:left="28"/>
                    <w:rPr>
                      <w:color w:val="FFFFFF"/>
                    </w:rPr>
                  </w:pPr>
                  <w:r>
                    <w:rPr>
                      <w:color w:val="FFFFFF"/>
                    </w:rPr>
                    <w:t>DEFAULT AND OTHER FEES THAT MAY BE CHARGED TO YOU</w:t>
                  </w:r>
                </w:p>
                <w:p w14:paraId="70486A3A" w14:textId="2520209E" w:rsidR="00406500" w:rsidRDefault="00406500">
                  <w:pPr>
                    <w:pStyle w:val="BodyText"/>
                    <w:spacing w:before="91"/>
                    <w:ind w:left="28"/>
                    <w:rPr>
                      <w:color w:val="FFFFFF"/>
                    </w:rPr>
                  </w:pPr>
                </w:p>
                <w:p w14:paraId="5C901674" w14:textId="77777777" w:rsidR="00406500" w:rsidRDefault="00406500">
                  <w:pPr>
                    <w:pStyle w:val="BodyText"/>
                    <w:spacing w:before="91"/>
                    <w:ind w:left="28"/>
                  </w:pPr>
                </w:p>
              </w:txbxContent>
            </v:textbox>
            <w10:wrap type="topAndBottom" anchorx="page"/>
          </v:shape>
        </w:pict>
      </w:r>
    </w:p>
    <w:p w14:paraId="365DCCC2" w14:textId="50373784" w:rsidR="003724DD" w:rsidRDefault="003724DD">
      <w:pPr>
        <w:pStyle w:val="BodyText"/>
        <w:spacing w:before="2"/>
        <w:ind w:left="0"/>
        <w:rPr>
          <w:sz w:val="21"/>
        </w:rPr>
      </w:pPr>
    </w:p>
    <w:p w14:paraId="7159A1A9" w14:textId="77777777" w:rsidR="00406500" w:rsidRDefault="00406500">
      <w:pPr>
        <w:pStyle w:val="BodyText"/>
        <w:spacing w:before="2"/>
        <w:ind w:left="0"/>
        <w:rPr>
          <w:sz w:val="21"/>
        </w:rPr>
      </w:pPr>
    </w:p>
    <w:tbl>
      <w:tblPr>
        <w:tblW w:w="0" w:type="auto"/>
        <w:tblInd w:w="140" w:type="dxa"/>
        <w:tblLayout w:type="fixed"/>
        <w:tblCellMar>
          <w:left w:w="0" w:type="dxa"/>
          <w:right w:w="0" w:type="dxa"/>
        </w:tblCellMar>
        <w:tblLook w:val="01E0" w:firstRow="1" w:lastRow="1" w:firstColumn="1" w:lastColumn="1" w:noHBand="0" w:noVBand="0"/>
      </w:tblPr>
      <w:tblGrid>
        <w:gridCol w:w="1900"/>
        <w:gridCol w:w="7"/>
        <w:gridCol w:w="1666"/>
        <w:gridCol w:w="158"/>
        <w:gridCol w:w="5297"/>
      </w:tblGrid>
      <w:tr w:rsidR="003724DD" w14:paraId="50CB8147" w14:textId="77777777">
        <w:trPr>
          <w:trHeight w:val="1388"/>
        </w:trPr>
        <w:tc>
          <w:tcPr>
            <w:tcW w:w="1907" w:type="dxa"/>
            <w:gridSpan w:val="2"/>
            <w:tcBorders>
              <w:top w:val="single" w:sz="6" w:space="0" w:color="DFDEDE"/>
              <w:bottom w:val="single" w:sz="6" w:space="0" w:color="DFDEDE"/>
            </w:tcBorders>
          </w:tcPr>
          <w:p w14:paraId="4785082A" w14:textId="77777777" w:rsidR="003724DD" w:rsidRDefault="003724DD">
            <w:pPr>
              <w:pStyle w:val="TableParagraph"/>
              <w:rPr>
                <w:sz w:val="24"/>
              </w:rPr>
            </w:pPr>
          </w:p>
          <w:p w14:paraId="55971D5B" w14:textId="77777777" w:rsidR="003724DD" w:rsidRDefault="003724DD">
            <w:pPr>
              <w:pStyle w:val="TableParagraph"/>
              <w:spacing w:before="2"/>
              <w:rPr>
                <w:sz w:val="19"/>
              </w:rPr>
            </w:pPr>
          </w:p>
          <w:p w14:paraId="214E0DB1" w14:textId="62875879" w:rsidR="003724DD" w:rsidRDefault="000E0038">
            <w:pPr>
              <w:pStyle w:val="TableParagraph"/>
              <w:ind w:left="300"/>
            </w:pPr>
            <w:r>
              <w:rPr>
                <w:color w:val="808080"/>
              </w:rPr>
              <w:t xml:space="preserve">Property </w:t>
            </w:r>
            <w:r w:rsidR="00BC6C76">
              <w:rPr>
                <w:color w:val="808080"/>
              </w:rPr>
              <w:t>Visit Fee</w:t>
            </w:r>
          </w:p>
        </w:tc>
        <w:tc>
          <w:tcPr>
            <w:tcW w:w="1824" w:type="dxa"/>
            <w:gridSpan w:val="2"/>
            <w:tcBorders>
              <w:top w:val="single" w:sz="6" w:space="0" w:color="DFDEDE"/>
              <w:bottom w:val="single" w:sz="6" w:space="0" w:color="DFDEDE"/>
            </w:tcBorders>
          </w:tcPr>
          <w:p w14:paraId="4A700CC7" w14:textId="77777777" w:rsidR="003724DD" w:rsidRDefault="003724DD">
            <w:pPr>
              <w:pStyle w:val="TableParagraph"/>
              <w:rPr>
                <w:sz w:val="24"/>
              </w:rPr>
            </w:pPr>
          </w:p>
          <w:p w14:paraId="47A70117" w14:textId="77777777" w:rsidR="003724DD" w:rsidRDefault="003724DD">
            <w:pPr>
              <w:pStyle w:val="TableParagraph"/>
              <w:spacing w:before="2"/>
              <w:rPr>
                <w:sz w:val="19"/>
              </w:rPr>
            </w:pPr>
          </w:p>
          <w:p w14:paraId="6CE19E2D" w14:textId="21EDA0E6" w:rsidR="003724DD" w:rsidRDefault="00BC6C76">
            <w:pPr>
              <w:pStyle w:val="TableParagraph"/>
              <w:ind w:left="359"/>
            </w:pPr>
            <w:r>
              <w:rPr>
                <w:color w:val="808080"/>
              </w:rPr>
              <w:t>$</w:t>
            </w:r>
            <w:r w:rsidR="00406500">
              <w:rPr>
                <w:color w:val="808080"/>
              </w:rPr>
              <w:t>15</w:t>
            </w:r>
            <w:r>
              <w:rPr>
                <w:color w:val="808080"/>
              </w:rPr>
              <w:t>0.00</w:t>
            </w:r>
          </w:p>
        </w:tc>
        <w:tc>
          <w:tcPr>
            <w:tcW w:w="5295" w:type="dxa"/>
            <w:tcBorders>
              <w:top w:val="single" w:sz="6" w:space="0" w:color="DFDEDE"/>
              <w:bottom w:val="single" w:sz="6" w:space="0" w:color="DFDEDE"/>
            </w:tcBorders>
          </w:tcPr>
          <w:p w14:paraId="267E27D9" w14:textId="4418328F" w:rsidR="003724DD" w:rsidRDefault="00BC6C76">
            <w:pPr>
              <w:pStyle w:val="TableParagraph"/>
              <w:spacing w:before="112"/>
              <w:ind w:left="351" w:right="301"/>
            </w:pPr>
            <w:r>
              <w:rPr>
                <w:color w:val="808080"/>
              </w:rPr>
              <w:t xml:space="preserve">If we deem it necessary to visit you in person at your </w:t>
            </w:r>
            <w:r w:rsidR="000E0038">
              <w:rPr>
                <w:color w:val="808080"/>
              </w:rPr>
              <w:t>property/s</w:t>
            </w:r>
            <w:r w:rsidR="00406500">
              <w:rPr>
                <w:color w:val="808080"/>
              </w:rPr>
              <w:t xml:space="preserve"> </w:t>
            </w:r>
            <w:r>
              <w:rPr>
                <w:color w:val="808080"/>
              </w:rPr>
              <w:t>in relation to a missed payment(s) or to any other default you commit under this agreement.</w:t>
            </w:r>
          </w:p>
        </w:tc>
      </w:tr>
      <w:tr w:rsidR="003724DD" w14:paraId="3F7615B3" w14:textId="77777777">
        <w:trPr>
          <w:trHeight w:val="3323"/>
        </w:trPr>
        <w:tc>
          <w:tcPr>
            <w:tcW w:w="1907" w:type="dxa"/>
            <w:gridSpan w:val="2"/>
            <w:tcBorders>
              <w:top w:val="single" w:sz="6" w:space="0" w:color="DFDEDE"/>
              <w:bottom w:val="single" w:sz="6" w:space="0" w:color="DFDEDE"/>
            </w:tcBorders>
          </w:tcPr>
          <w:p w14:paraId="2A2B6BA4" w14:textId="77777777" w:rsidR="003724DD" w:rsidRDefault="003724DD">
            <w:pPr>
              <w:pStyle w:val="TableParagraph"/>
              <w:rPr>
                <w:sz w:val="24"/>
              </w:rPr>
            </w:pPr>
          </w:p>
          <w:p w14:paraId="5ECD4D2A" w14:textId="77777777" w:rsidR="003724DD" w:rsidRDefault="003724DD">
            <w:pPr>
              <w:pStyle w:val="TableParagraph"/>
              <w:rPr>
                <w:sz w:val="24"/>
              </w:rPr>
            </w:pPr>
          </w:p>
          <w:p w14:paraId="05163541" w14:textId="77777777" w:rsidR="003724DD" w:rsidRDefault="003724DD">
            <w:pPr>
              <w:pStyle w:val="TableParagraph"/>
              <w:rPr>
                <w:sz w:val="24"/>
              </w:rPr>
            </w:pPr>
          </w:p>
          <w:p w14:paraId="4005AECB" w14:textId="77777777" w:rsidR="003724DD" w:rsidRDefault="003724DD">
            <w:pPr>
              <w:pStyle w:val="TableParagraph"/>
              <w:rPr>
                <w:sz w:val="24"/>
              </w:rPr>
            </w:pPr>
          </w:p>
          <w:p w14:paraId="350F73B8" w14:textId="77777777" w:rsidR="003724DD" w:rsidRDefault="00BC6C76">
            <w:pPr>
              <w:pStyle w:val="TableParagraph"/>
              <w:spacing w:before="151"/>
              <w:ind w:left="300" w:right="339"/>
            </w:pPr>
            <w:r>
              <w:rPr>
                <w:color w:val="808080"/>
              </w:rPr>
              <w:t>Enforcement Fee</w:t>
            </w:r>
          </w:p>
        </w:tc>
        <w:tc>
          <w:tcPr>
            <w:tcW w:w="1824" w:type="dxa"/>
            <w:gridSpan w:val="2"/>
            <w:tcBorders>
              <w:top w:val="single" w:sz="6" w:space="0" w:color="DFDEDE"/>
              <w:bottom w:val="single" w:sz="6" w:space="0" w:color="DFDEDE"/>
            </w:tcBorders>
          </w:tcPr>
          <w:p w14:paraId="2CD728BF" w14:textId="77777777" w:rsidR="003724DD" w:rsidRDefault="003724DD">
            <w:pPr>
              <w:pStyle w:val="TableParagraph"/>
              <w:rPr>
                <w:sz w:val="24"/>
              </w:rPr>
            </w:pPr>
          </w:p>
          <w:p w14:paraId="5542E520" w14:textId="77777777" w:rsidR="003724DD" w:rsidRDefault="003724DD">
            <w:pPr>
              <w:pStyle w:val="TableParagraph"/>
              <w:rPr>
                <w:sz w:val="24"/>
              </w:rPr>
            </w:pPr>
          </w:p>
          <w:p w14:paraId="025CF03E" w14:textId="77777777" w:rsidR="003724DD" w:rsidRDefault="00BC6C76">
            <w:pPr>
              <w:pStyle w:val="TableParagraph"/>
              <w:spacing w:before="209"/>
              <w:ind w:left="359" w:right="332"/>
            </w:pPr>
            <w:r>
              <w:rPr>
                <w:color w:val="808080"/>
              </w:rPr>
              <w:t>Variable based on direct costs incurred by us.</w:t>
            </w:r>
          </w:p>
        </w:tc>
        <w:tc>
          <w:tcPr>
            <w:tcW w:w="5295" w:type="dxa"/>
            <w:tcBorders>
              <w:top w:val="single" w:sz="6" w:space="0" w:color="DFDEDE"/>
              <w:bottom w:val="single" w:sz="6" w:space="0" w:color="DFDEDE"/>
            </w:tcBorders>
          </w:tcPr>
          <w:p w14:paraId="4279386A" w14:textId="77777777" w:rsidR="003724DD" w:rsidRDefault="00BC6C76">
            <w:pPr>
              <w:pStyle w:val="TableParagraph"/>
              <w:spacing w:before="113"/>
              <w:ind w:left="351" w:right="447"/>
            </w:pPr>
            <w:r>
              <w:rPr>
                <w:color w:val="808080"/>
              </w:rPr>
              <w:t>In the case of enforcement, including Court or Disputes Tribunal proceedings and seizure and sale, we will charge to your account all court and tribunal costs and actual solicitors fees and disbursements (assessed on a solicitor client basis) and debt collection agency fees and disbursements and the costs and disbursements of valuers, auctioneers, process servers and any agents of the lender in effecting such enforcement plus any other necessary disbursements as those costs are ascertained.</w:t>
            </w:r>
          </w:p>
        </w:tc>
      </w:tr>
      <w:tr w:rsidR="003724DD" w14:paraId="47381412" w14:textId="77777777">
        <w:trPr>
          <w:trHeight w:val="1113"/>
        </w:trPr>
        <w:tc>
          <w:tcPr>
            <w:tcW w:w="1900" w:type="dxa"/>
            <w:tcBorders>
              <w:top w:val="single" w:sz="6" w:space="0" w:color="DFDEDE"/>
              <w:bottom w:val="single" w:sz="6" w:space="0" w:color="DFDEDE"/>
            </w:tcBorders>
          </w:tcPr>
          <w:p w14:paraId="302B40AE" w14:textId="77777777" w:rsidR="003724DD" w:rsidRDefault="00BC6C76">
            <w:pPr>
              <w:pStyle w:val="TableParagraph"/>
              <w:spacing w:before="103"/>
              <w:ind w:left="300" w:right="622"/>
              <w:jc w:val="both"/>
            </w:pPr>
            <w:r>
              <w:rPr>
                <w:color w:val="808080"/>
              </w:rPr>
              <w:t xml:space="preserve">Mortgage </w:t>
            </w:r>
            <w:r>
              <w:rPr>
                <w:color w:val="808080"/>
                <w:spacing w:val="-3"/>
              </w:rPr>
              <w:t xml:space="preserve">Discharge </w:t>
            </w:r>
            <w:r>
              <w:rPr>
                <w:color w:val="808080"/>
              </w:rPr>
              <w:t>Fee</w:t>
            </w:r>
          </w:p>
        </w:tc>
        <w:tc>
          <w:tcPr>
            <w:tcW w:w="1673" w:type="dxa"/>
            <w:gridSpan w:val="2"/>
            <w:tcBorders>
              <w:top w:val="single" w:sz="6" w:space="0" w:color="DFDEDE"/>
              <w:bottom w:val="single" w:sz="6" w:space="0" w:color="DFDEDE"/>
            </w:tcBorders>
          </w:tcPr>
          <w:p w14:paraId="065D2616" w14:textId="77777777" w:rsidR="003724DD" w:rsidRDefault="003724DD">
            <w:pPr>
              <w:pStyle w:val="TableParagraph"/>
              <w:spacing w:before="1"/>
              <w:rPr>
                <w:sz w:val="21"/>
              </w:rPr>
            </w:pPr>
          </w:p>
          <w:p w14:paraId="3E8AC96C" w14:textId="77777777" w:rsidR="003724DD" w:rsidRDefault="00BC6C76">
            <w:pPr>
              <w:pStyle w:val="TableParagraph"/>
              <w:ind w:left="366"/>
            </w:pPr>
            <w:r>
              <w:rPr>
                <w:color w:val="808080"/>
              </w:rPr>
              <w:t>$30.00</w:t>
            </w:r>
          </w:p>
        </w:tc>
        <w:tc>
          <w:tcPr>
            <w:tcW w:w="5455" w:type="dxa"/>
            <w:gridSpan w:val="2"/>
            <w:tcBorders>
              <w:top w:val="single" w:sz="6" w:space="0" w:color="DFDEDE"/>
              <w:bottom w:val="single" w:sz="6" w:space="0" w:color="DFDEDE"/>
            </w:tcBorders>
          </w:tcPr>
          <w:p w14:paraId="6D5E0D3F" w14:textId="77777777" w:rsidR="003724DD" w:rsidRDefault="003724DD">
            <w:pPr>
              <w:pStyle w:val="TableParagraph"/>
              <w:spacing w:before="2"/>
              <w:rPr>
                <w:sz w:val="20"/>
              </w:rPr>
            </w:pPr>
          </w:p>
          <w:p w14:paraId="4C2F21FF" w14:textId="77777777" w:rsidR="003724DD" w:rsidRDefault="00BC6C76">
            <w:pPr>
              <w:pStyle w:val="TableParagraph"/>
              <w:spacing w:before="1"/>
              <w:ind w:left="509" w:right="1171"/>
            </w:pPr>
            <w:r>
              <w:rPr>
                <w:color w:val="808080"/>
              </w:rPr>
              <w:t>For preparation of mortgage discharge authority for borrowers solicitor.</w:t>
            </w:r>
          </w:p>
        </w:tc>
      </w:tr>
      <w:tr w:rsidR="003724DD" w14:paraId="32C666B3" w14:textId="77777777">
        <w:trPr>
          <w:trHeight w:val="1389"/>
        </w:trPr>
        <w:tc>
          <w:tcPr>
            <w:tcW w:w="1900" w:type="dxa"/>
            <w:tcBorders>
              <w:top w:val="single" w:sz="6" w:space="0" w:color="DFDEDE"/>
              <w:bottom w:val="single" w:sz="6" w:space="0" w:color="DFDEDE"/>
            </w:tcBorders>
          </w:tcPr>
          <w:p w14:paraId="4D66C79C" w14:textId="77777777" w:rsidR="003724DD" w:rsidRDefault="003724DD">
            <w:pPr>
              <w:pStyle w:val="TableParagraph"/>
              <w:rPr>
                <w:sz w:val="21"/>
              </w:rPr>
            </w:pPr>
          </w:p>
          <w:p w14:paraId="7B049A0A" w14:textId="77777777" w:rsidR="003724DD" w:rsidRDefault="00BC6C76">
            <w:pPr>
              <w:pStyle w:val="TableParagraph"/>
              <w:ind w:left="300" w:right="344"/>
            </w:pPr>
            <w:r>
              <w:rPr>
                <w:color w:val="808080"/>
              </w:rPr>
              <w:t>Discharge of Mortgage</w:t>
            </w:r>
          </w:p>
        </w:tc>
        <w:tc>
          <w:tcPr>
            <w:tcW w:w="1673" w:type="dxa"/>
            <w:gridSpan w:val="2"/>
            <w:tcBorders>
              <w:top w:val="single" w:sz="6" w:space="0" w:color="DFDEDE"/>
              <w:bottom w:val="single" w:sz="6" w:space="0" w:color="DFDEDE"/>
            </w:tcBorders>
          </w:tcPr>
          <w:p w14:paraId="7A9660D3" w14:textId="77777777" w:rsidR="003724DD" w:rsidRDefault="003724DD">
            <w:pPr>
              <w:pStyle w:val="TableParagraph"/>
              <w:rPr>
                <w:sz w:val="24"/>
              </w:rPr>
            </w:pPr>
          </w:p>
          <w:p w14:paraId="760D6DC5" w14:textId="34BA2396" w:rsidR="003724DD" w:rsidRDefault="00BC6C76">
            <w:pPr>
              <w:pStyle w:val="TableParagraph"/>
              <w:spacing w:before="211"/>
              <w:ind w:left="366"/>
            </w:pPr>
            <w:r>
              <w:rPr>
                <w:color w:val="808080"/>
              </w:rPr>
              <w:t>$2</w:t>
            </w:r>
            <w:r w:rsidR="00125435">
              <w:rPr>
                <w:color w:val="808080"/>
              </w:rPr>
              <w:t>7</w:t>
            </w:r>
            <w:r>
              <w:rPr>
                <w:color w:val="808080"/>
              </w:rPr>
              <w:t>0.00</w:t>
            </w:r>
          </w:p>
        </w:tc>
        <w:tc>
          <w:tcPr>
            <w:tcW w:w="5455" w:type="dxa"/>
            <w:gridSpan w:val="2"/>
            <w:tcBorders>
              <w:top w:val="single" w:sz="6" w:space="0" w:color="DFDEDE"/>
              <w:bottom w:val="single" w:sz="6" w:space="0" w:color="DFDEDE"/>
            </w:tcBorders>
          </w:tcPr>
          <w:p w14:paraId="7C3906CA" w14:textId="77777777" w:rsidR="003724DD" w:rsidRDefault="00BC6C76" w:rsidP="0063688A">
            <w:pPr>
              <w:pStyle w:val="TableParagraph"/>
              <w:spacing w:before="103"/>
              <w:ind w:left="509" w:right="413"/>
            </w:pPr>
            <w:r>
              <w:rPr>
                <w:color w:val="808080"/>
              </w:rPr>
              <w:t>If you have repaid your loan in full and request that our</w:t>
            </w:r>
            <w:r w:rsidR="0063688A">
              <w:t xml:space="preserve"> </w:t>
            </w:r>
            <w:r>
              <w:rPr>
                <w:color w:val="808080"/>
              </w:rPr>
              <w:t>Solicitor attends to the registration of a discharge of mortgage.</w:t>
            </w:r>
          </w:p>
        </w:tc>
      </w:tr>
    </w:tbl>
    <w:p w14:paraId="005EA97D" w14:textId="77777777" w:rsidR="00CA31EC" w:rsidRDefault="00CA31EC" w:rsidP="00CA31EC"/>
    <w:sectPr w:rsidR="00CA31EC" w:rsidSect="00CA31EC">
      <w:headerReference w:type="default" r:id="rId8"/>
      <w:pgSz w:w="11930" w:h="16860"/>
      <w:pgMar w:top="553" w:right="1300" w:bottom="280" w:left="13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D44F" w14:textId="77777777" w:rsidR="00D9420E" w:rsidRDefault="00D9420E" w:rsidP="002E7C12">
      <w:r>
        <w:separator/>
      </w:r>
    </w:p>
  </w:endnote>
  <w:endnote w:type="continuationSeparator" w:id="0">
    <w:p w14:paraId="07BC3270" w14:textId="77777777" w:rsidR="00D9420E" w:rsidRDefault="00D9420E" w:rsidP="002E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B148" w14:textId="77777777" w:rsidR="00D9420E" w:rsidRDefault="00D9420E" w:rsidP="002E7C12">
      <w:r>
        <w:separator/>
      </w:r>
    </w:p>
  </w:footnote>
  <w:footnote w:type="continuationSeparator" w:id="0">
    <w:p w14:paraId="3F50C53E" w14:textId="77777777" w:rsidR="00D9420E" w:rsidRDefault="00D9420E" w:rsidP="002E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1704" w14:textId="77777777" w:rsidR="00CA31EC" w:rsidRDefault="00CA31E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945DE"/>
    <w:multiLevelType w:val="hybridMultilevel"/>
    <w:tmpl w:val="55EA8A72"/>
    <w:lvl w:ilvl="0" w:tplc="9FE210E0">
      <w:numFmt w:val="bullet"/>
      <w:lvlText w:val=""/>
      <w:lvlJc w:val="left"/>
      <w:pPr>
        <w:ind w:left="860" w:hanging="360"/>
      </w:pPr>
      <w:rPr>
        <w:rFonts w:ascii="Symbol" w:eastAsia="Symbol" w:hAnsi="Symbol" w:cs="Symbol" w:hint="default"/>
        <w:color w:val="747474"/>
        <w:w w:val="95"/>
        <w:sz w:val="20"/>
        <w:szCs w:val="20"/>
        <w:lang w:val="en-NZ" w:eastAsia="en-NZ" w:bidi="en-NZ"/>
      </w:rPr>
    </w:lvl>
    <w:lvl w:ilvl="1" w:tplc="B04E1A18">
      <w:numFmt w:val="bullet"/>
      <w:lvlText w:val="•"/>
      <w:lvlJc w:val="left"/>
      <w:pPr>
        <w:ind w:left="1706" w:hanging="360"/>
      </w:pPr>
      <w:rPr>
        <w:rFonts w:hint="default"/>
        <w:lang w:val="en-NZ" w:eastAsia="en-NZ" w:bidi="en-NZ"/>
      </w:rPr>
    </w:lvl>
    <w:lvl w:ilvl="2" w:tplc="4A9E1D92">
      <w:numFmt w:val="bullet"/>
      <w:lvlText w:val="•"/>
      <w:lvlJc w:val="left"/>
      <w:pPr>
        <w:ind w:left="2552" w:hanging="360"/>
      </w:pPr>
      <w:rPr>
        <w:rFonts w:hint="default"/>
        <w:lang w:val="en-NZ" w:eastAsia="en-NZ" w:bidi="en-NZ"/>
      </w:rPr>
    </w:lvl>
    <w:lvl w:ilvl="3" w:tplc="B20C2E18">
      <w:numFmt w:val="bullet"/>
      <w:lvlText w:val="•"/>
      <w:lvlJc w:val="left"/>
      <w:pPr>
        <w:ind w:left="3398" w:hanging="360"/>
      </w:pPr>
      <w:rPr>
        <w:rFonts w:hint="default"/>
        <w:lang w:val="en-NZ" w:eastAsia="en-NZ" w:bidi="en-NZ"/>
      </w:rPr>
    </w:lvl>
    <w:lvl w:ilvl="4" w:tplc="A8868BE2">
      <w:numFmt w:val="bullet"/>
      <w:lvlText w:val="•"/>
      <w:lvlJc w:val="left"/>
      <w:pPr>
        <w:ind w:left="4244" w:hanging="360"/>
      </w:pPr>
      <w:rPr>
        <w:rFonts w:hint="default"/>
        <w:lang w:val="en-NZ" w:eastAsia="en-NZ" w:bidi="en-NZ"/>
      </w:rPr>
    </w:lvl>
    <w:lvl w:ilvl="5" w:tplc="E23000FC">
      <w:numFmt w:val="bullet"/>
      <w:lvlText w:val="•"/>
      <w:lvlJc w:val="left"/>
      <w:pPr>
        <w:ind w:left="5090" w:hanging="360"/>
      </w:pPr>
      <w:rPr>
        <w:rFonts w:hint="default"/>
        <w:lang w:val="en-NZ" w:eastAsia="en-NZ" w:bidi="en-NZ"/>
      </w:rPr>
    </w:lvl>
    <w:lvl w:ilvl="6" w:tplc="07B407FA">
      <w:numFmt w:val="bullet"/>
      <w:lvlText w:val="•"/>
      <w:lvlJc w:val="left"/>
      <w:pPr>
        <w:ind w:left="5936" w:hanging="360"/>
      </w:pPr>
      <w:rPr>
        <w:rFonts w:hint="default"/>
        <w:lang w:val="en-NZ" w:eastAsia="en-NZ" w:bidi="en-NZ"/>
      </w:rPr>
    </w:lvl>
    <w:lvl w:ilvl="7" w:tplc="759E88CE">
      <w:numFmt w:val="bullet"/>
      <w:lvlText w:val="•"/>
      <w:lvlJc w:val="left"/>
      <w:pPr>
        <w:ind w:left="6782" w:hanging="360"/>
      </w:pPr>
      <w:rPr>
        <w:rFonts w:hint="default"/>
        <w:lang w:val="en-NZ" w:eastAsia="en-NZ" w:bidi="en-NZ"/>
      </w:rPr>
    </w:lvl>
    <w:lvl w:ilvl="8" w:tplc="EF8A08A4">
      <w:numFmt w:val="bullet"/>
      <w:lvlText w:val="•"/>
      <w:lvlJc w:val="left"/>
      <w:pPr>
        <w:ind w:left="7628" w:hanging="360"/>
      </w:pPr>
      <w:rPr>
        <w:rFonts w:hint="default"/>
        <w:lang w:val="en-NZ" w:eastAsia="en-NZ" w:bidi="en-NZ"/>
      </w:rPr>
    </w:lvl>
  </w:abstractNum>
  <w:num w:numId="1" w16cid:durableId="168081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24DD"/>
    <w:rsid w:val="000E0038"/>
    <w:rsid w:val="000F19DA"/>
    <w:rsid w:val="00104966"/>
    <w:rsid w:val="00125435"/>
    <w:rsid w:val="00255F38"/>
    <w:rsid w:val="002E7C12"/>
    <w:rsid w:val="003724DD"/>
    <w:rsid w:val="003B2C29"/>
    <w:rsid w:val="003B604A"/>
    <w:rsid w:val="00406500"/>
    <w:rsid w:val="00464F37"/>
    <w:rsid w:val="0063688A"/>
    <w:rsid w:val="006842A2"/>
    <w:rsid w:val="006F4531"/>
    <w:rsid w:val="009431FA"/>
    <w:rsid w:val="00B96EEA"/>
    <w:rsid w:val="00BC6C76"/>
    <w:rsid w:val="00C03784"/>
    <w:rsid w:val="00CA31EC"/>
    <w:rsid w:val="00D9420E"/>
    <w:rsid w:val="00DD06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E0E1E"/>
  <w15:docId w15:val="{AA1AC53A-49AE-4A14-91D1-DB5C0F1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3"/>
      <w:szCs w:val="23"/>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7C12"/>
    <w:pPr>
      <w:tabs>
        <w:tab w:val="center" w:pos="4513"/>
        <w:tab w:val="right" w:pos="9026"/>
      </w:tabs>
    </w:pPr>
  </w:style>
  <w:style w:type="character" w:customStyle="1" w:styleId="HeaderChar">
    <w:name w:val="Header Char"/>
    <w:basedOn w:val="DefaultParagraphFont"/>
    <w:link w:val="Header"/>
    <w:uiPriority w:val="99"/>
    <w:rsid w:val="002E7C12"/>
    <w:rPr>
      <w:rFonts w:ascii="Arial" w:eastAsia="Arial" w:hAnsi="Arial" w:cs="Arial"/>
      <w:lang w:val="en-NZ" w:eastAsia="en-NZ" w:bidi="en-NZ"/>
    </w:rPr>
  </w:style>
  <w:style w:type="paragraph" w:styleId="Footer">
    <w:name w:val="footer"/>
    <w:basedOn w:val="Normal"/>
    <w:link w:val="FooterChar"/>
    <w:uiPriority w:val="99"/>
    <w:unhideWhenUsed/>
    <w:rsid w:val="002E7C12"/>
    <w:pPr>
      <w:tabs>
        <w:tab w:val="center" w:pos="4513"/>
        <w:tab w:val="right" w:pos="9026"/>
      </w:tabs>
    </w:pPr>
  </w:style>
  <w:style w:type="character" w:customStyle="1" w:styleId="FooterChar">
    <w:name w:val="Footer Char"/>
    <w:basedOn w:val="DefaultParagraphFont"/>
    <w:link w:val="Footer"/>
    <w:uiPriority w:val="99"/>
    <w:rsid w:val="002E7C12"/>
    <w:rPr>
      <w:rFonts w:ascii="Arial" w:eastAsia="Arial" w:hAnsi="Arial" w:cs="Arial"/>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scountloans.co.nz/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Donoghue</dc:creator>
  <cp:lastModifiedBy>Core Finance</cp:lastModifiedBy>
  <cp:revision>14</cp:revision>
  <dcterms:created xsi:type="dcterms:W3CDTF">2018-01-30T02:18:00Z</dcterms:created>
  <dcterms:modified xsi:type="dcterms:W3CDTF">2024-02-11T23:14:00Z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Microsoft® Word 2013</vt:lpwstr>
  </property>
  <property fmtid="{D5CDD505-2E9C-101B-9397-08002B2CF9AE}" pid="4" name="LastSaved">
    <vt:filetime>2018-01-29T00:00:00Z</vt:filetime>
  </property>
</Properties>
</file>